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82CC0" w14:textId="02C587C6" w:rsidR="001B6BB6" w:rsidRDefault="001B6BB6">
      <w:pPr>
        <w:spacing w:after="101"/>
      </w:pPr>
    </w:p>
    <w:p w14:paraId="1B29C51A" w14:textId="77777777" w:rsidR="001B6BB6" w:rsidRDefault="00000000">
      <w:pPr>
        <w:spacing w:after="0"/>
        <w:jc w:val="right"/>
      </w:pPr>
      <w:r>
        <w:rPr>
          <w:rFonts w:ascii="Arial" w:eastAsia="Arial" w:hAnsi="Arial" w:cs="Arial"/>
          <w:sz w:val="20"/>
        </w:rPr>
        <w:t xml:space="preserve"> </w:t>
      </w:r>
    </w:p>
    <w:p w14:paraId="5CB38555" w14:textId="77777777" w:rsidR="001B6BB6" w:rsidRDefault="00000000">
      <w:pPr>
        <w:spacing w:after="0"/>
        <w:ind w:left="10" w:right="5" w:hanging="10"/>
        <w:jc w:val="center"/>
      </w:pPr>
      <w:r>
        <w:rPr>
          <w:rFonts w:ascii="Times New Roman" w:eastAsia="Times New Roman" w:hAnsi="Times New Roman" w:cs="Times New Roman"/>
          <w:b/>
          <w:sz w:val="24"/>
        </w:rPr>
        <w:t xml:space="preserve">FORMULAIRE DE CONSENTEMENT  </w:t>
      </w:r>
    </w:p>
    <w:p w14:paraId="6E0F0277" w14:textId="77777777" w:rsidR="001B6BB6" w:rsidRDefault="00000000">
      <w:pPr>
        <w:spacing w:after="0"/>
        <w:ind w:left="10" w:right="7" w:hanging="10"/>
        <w:jc w:val="center"/>
      </w:pPr>
      <w:r>
        <w:rPr>
          <w:rFonts w:ascii="Times New Roman" w:eastAsia="Times New Roman" w:hAnsi="Times New Roman" w:cs="Times New Roman"/>
          <w:b/>
          <w:sz w:val="24"/>
        </w:rPr>
        <w:t xml:space="preserve">AUTORISATION POUR LES CONSULTATIONS ET ACTES DE SEDATION </w:t>
      </w:r>
    </w:p>
    <w:p w14:paraId="50DE8158" w14:textId="77777777" w:rsidR="001B6BB6" w:rsidRDefault="00000000">
      <w:pPr>
        <w:spacing w:after="0"/>
        <w:ind w:left="56"/>
        <w:jc w:val="center"/>
      </w:pPr>
      <w:r>
        <w:rPr>
          <w:rFonts w:ascii="Times New Roman" w:eastAsia="Times New Roman" w:hAnsi="Times New Roman" w:cs="Times New Roman"/>
          <w:b/>
          <w:sz w:val="24"/>
        </w:rPr>
        <w:t xml:space="preserve"> </w:t>
      </w:r>
    </w:p>
    <w:p w14:paraId="0314FF63" w14:textId="77777777" w:rsidR="001B6BB6" w:rsidRDefault="00000000">
      <w:pPr>
        <w:spacing w:after="0"/>
      </w:pPr>
      <w:r>
        <w:rPr>
          <w:rFonts w:ascii="Times New Roman" w:eastAsia="Times New Roman" w:hAnsi="Times New Roman" w:cs="Times New Roman"/>
          <w:sz w:val="24"/>
        </w:rPr>
        <w:t xml:space="preserve"> </w:t>
      </w:r>
    </w:p>
    <w:p w14:paraId="57963A73" w14:textId="77777777" w:rsidR="001B6BB6" w:rsidRDefault="00000000">
      <w:pPr>
        <w:spacing w:after="0" w:line="250" w:lineRule="auto"/>
      </w:pPr>
      <w:r>
        <w:rPr>
          <w:rFonts w:ascii="Times New Roman" w:eastAsia="Times New Roman" w:hAnsi="Times New Roman" w:cs="Times New Roman"/>
          <w:sz w:val="24"/>
        </w:rPr>
        <w:t xml:space="preserve">Vu les articles L1111-2, L1111-4, R4127-42 du code de la santé publique, vu la fiche de liaison handimed86 datée et signée, vu l’absence de consentement éclairé du patient, majeur protégé : </w:t>
      </w:r>
    </w:p>
    <w:p w14:paraId="394D448B" w14:textId="77777777" w:rsidR="001B6BB6" w:rsidRDefault="00000000">
      <w:pPr>
        <w:spacing w:after="19"/>
      </w:pPr>
      <w:r>
        <w:rPr>
          <w:rFonts w:ascii="Times New Roman" w:eastAsia="Times New Roman" w:hAnsi="Times New Roman" w:cs="Times New Roman"/>
          <w:sz w:val="24"/>
        </w:rPr>
        <w:t xml:space="preserve"> </w:t>
      </w:r>
    </w:p>
    <w:p w14:paraId="644B4F27" w14:textId="77777777" w:rsidR="001B6BB6" w:rsidRDefault="00000000">
      <w:pPr>
        <w:spacing w:after="10" w:line="249" w:lineRule="auto"/>
        <w:ind w:left="-5" w:hanging="10"/>
        <w:jc w:val="both"/>
      </w:pPr>
      <w:r>
        <w:rPr>
          <w:rFonts w:ascii="Times New Roman" w:eastAsia="Times New Roman" w:hAnsi="Times New Roman" w:cs="Times New Roman"/>
          <w:sz w:val="24"/>
        </w:rPr>
        <w:t xml:space="preserve">Nom : …………………………………………………………………………………………    </w:t>
      </w:r>
    </w:p>
    <w:p w14:paraId="38287006" w14:textId="77777777" w:rsidR="001B6BB6" w:rsidRDefault="00000000">
      <w:pPr>
        <w:spacing w:after="19"/>
      </w:pPr>
      <w:r>
        <w:rPr>
          <w:rFonts w:ascii="Times New Roman" w:eastAsia="Times New Roman" w:hAnsi="Times New Roman" w:cs="Times New Roman"/>
          <w:sz w:val="24"/>
        </w:rPr>
        <w:t xml:space="preserve"> </w:t>
      </w:r>
    </w:p>
    <w:p w14:paraId="025E5C64" w14:textId="77777777" w:rsidR="001B6BB6" w:rsidRDefault="00000000">
      <w:pPr>
        <w:spacing w:after="10" w:line="249" w:lineRule="auto"/>
        <w:ind w:left="-5" w:hanging="10"/>
        <w:jc w:val="both"/>
      </w:pPr>
      <w:r>
        <w:rPr>
          <w:rFonts w:ascii="Times New Roman" w:eastAsia="Times New Roman" w:hAnsi="Times New Roman" w:cs="Times New Roman"/>
          <w:sz w:val="24"/>
        </w:rPr>
        <w:t xml:space="preserve">Prénom : ……………………………………………………………………………………… </w:t>
      </w:r>
    </w:p>
    <w:p w14:paraId="790B235E" w14:textId="77777777" w:rsidR="001B6BB6" w:rsidRDefault="00000000">
      <w:pPr>
        <w:spacing w:after="17"/>
      </w:pPr>
      <w:r>
        <w:rPr>
          <w:rFonts w:ascii="Times New Roman" w:eastAsia="Times New Roman" w:hAnsi="Times New Roman" w:cs="Times New Roman"/>
          <w:sz w:val="24"/>
        </w:rPr>
        <w:t xml:space="preserve"> </w:t>
      </w:r>
    </w:p>
    <w:p w14:paraId="3B58D273" w14:textId="77777777" w:rsidR="001B6BB6" w:rsidRDefault="00000000">
      <w:pPr>
        <w:spacing w:after="10" w:line="249" w:lineRule="auto"/>
        <w:ind w:left="-5" w:hanging="10"/>
        <w:jc w:val="both"/>
      </w:pPr>
      <w:r>
        <w:rPr>
          <w:rFonts w:ascii="Times New Roman" w:eastAsia="Times New Roman" w:hAnsi="Times New Roman" w:cs="Times New Roman"/>
          <w:sz w:val="24"/>
        </w:rPr>
        <w:t xml:space="preserve">Né(e) le ……………………………………. À </w:t>
      </w:r>
    </w:p>
    <w:p w14:paraId="598E5593" w14:textId="77777777" w:rsidR="001B6BB6" w:rsidRDefault="00000000">
      <w:pPr>
        <w:spacing w:after="10" w:line="249" w:lineRule="auto"/>
        <w:ind w:left="-5" w:hanging="10"/>
        <w:jc w:val="both"/>
      </w:pPr>
      <w:r>
        <w:rPr>
          <w:rFonts w:ascii="Times New Roman" w:eastAsia="Times New Roman" w:hAnsi="Times New Roman" w:cs="Times New Roman"/>
          <w:sz w:val="24"/>
        </w:rPr>
        <w:t xml:space="preserve">…………………………………...…………… </w:t>
      </w:r>
    </w:p>
    <w:p w14:paraId="4475D366" w14:textId="77777777" w:rsidR="001B6BB6" w:rsidRDefault="00000000">
      <w:pPr>
        <w:spacing w:after="0"/>
      </w:pPr>
      <w:r>
        <w:rPr>
          <w:rFonts w:ascii="Times New Roman" w:eastAsia="Times New Roman" w:hAnsi="Times New Roman" w:cs="Times New Roman"/>
          <w:sz w:val="24"/>
        </w:rPr>
        <w:t xml:space="preserve"> </w:t>
      </w:r>
    </w:p>
    <w:p w14:paraId="773BD894" w14:textId="77777777" w:rsidR="001B6BB6" w:rsidRDefault="00000000">
      <w:pPr>
        <w:spacing w:after="10" w:line="249" w:lineRule="auto"/>
        <w:ind w:left="-5" w:hanging="10"/>
        <w:jc w:val="both"/>
      </w:pPr>
      <w:r>
        <w:rPr>
          <w:rFonts w:ascii="Times New Roman" w:eastAsia="Times New Roman" w:hAnsi="Times New Roman" w:cs="Times New Roman"/>
          <w:sz w:val="24"/>
        </w:rPr>
        <w:t xml:space="preserve">Je soussigné(e)  </w:t>
      </w:r>
    </w:p>
    <w:p w14:paraId="4DF08E84" w14:textId="77777777" w:rsidR="001B6BB6" w:rsidRDefault="00000000">
      <w:pPr>
        <w:spacing w:after="309" w:line="249" w:lineRule="auto"/>
        <w:ind w:left="-5" w:hanging="10"/>
        <w:jc w:val="both"/>
      </w:pPr>
      <w:r>
        <w:rPr>
          <w:rFonts w:ascii="Times New Roman" w:eastAsia="Times New Roman" w:hAnsi="Times New Roman" w:cs="Times New Roman"/>
          <w:sz w:val="24"/>
        </w:rPr>
        <w:t>…………………………………………………………………………………………………</w:t>
      </w:r>
    </w:p>
    <w:p w14:paraId="20983566" w14:textId="77777777" w:rsidR="001B6BB6" w:rsidRDefault="00000000">
      <w:pPr>
        <w:spacing w:after="262" w:line="249" w:lineRule="auto"/>
        <w:ind w:left="-5" w:hanging="10"/>
        <w:jc w:val="both"/>
      </w:pPr>
      <w:r>
        <w:rPr>
          <w:rFonts w:ascii="Times New Roman" w:eastAsia="Times New Roman" w:hAnsi="Times New Roman" w:cs="Times New Roman"/>
          <w:sz w:val="24"/>
        </w:rPr>
        <w:t xml:space="preserve">………………………………………………………………………………………………… </w:t>
      </w:r>
    </w:p>
    <w:p w14:paraId="0A453C8F" w14:textId="77777777" w:rsidR="001B6BB6" w:rsidRDefault="00000000">
      <w:pPr>
        <w:spacing w:after="10" w:line="249" w:lineRule="auto"/>
        <w:ind w:left="-5" w:hanging="10"/>
        <w:jc w:val="both"/>
      </w:pPr>
      <w:r>
        <w:rPr>
          <w:rFonts w:ascii="Times New Roman" w:eastAsia="Times New Roman" w:hAnsi="Times New Roman" w:cs="Times New Roman"/>
          <w:sz w:val="24"/>
        </w:rPr>
        <w:t xml:space="preserve">Agissant en qualité de personne en charge d’une mission de représentation relative à la personne (ci-après « le tuteur ») concernant le patient dans l’incapacité d’exprimer un consentement éclairé. </w:t>
      </w:r>
    </w:p>
    <w:p w14:paraId="1D30FDC3" w14:textId="77777777" w:rsidR="001B6BB6" w:rsidRDefault="00000000">
      <w:pPr>
        <w:spacing w:after="0"/>
      </w:pPr>
      <w:r>
        <w:rPr>
          <w:rFonts w:ascii="Times New Roman" w:eastAsia="Times New Roman" w:hAnsi="Times New Roman" w:cs="Times New Roman"/>
          <w:b/>
          <w:sz w:val="24"/>
        </w:rPr>
        <w:t xml:space="preserve"> </w:t>
      </w:r>
    </w:p>
    <w:p w14:paraId="7B83E413" w14:textId="77777777" w:rsidR="001B6BB6" w:rsidRDefault="00000000">
      <w:pPr>
        <w:spacing w:after="0"/>
        <w:ind w:left="435"/>
      </w:pPr>
      <w:r>
        <w:rPr>
          <w:noProof/>
        </w:rPr>
        <w:drawing>
          <wp:inline distT="0" distB="0" distL="0" distR="0" wp14:anchorId="27A858AA" wp14:editId="005E2EAE">
            <wp:extent cx="122395" cy="124117"/>
            <wp:effectExtent l="0" t="0" r="0" b="0"/>
            <wp:docPr id="2270" name="Picture 2270"/>
            <wp:cNvGraphicFramePr/>
            <a:graphic xmlns:a="http://schemas.openxmlformats.org/drawingml/2006/main">
              <a:graphicData uri="http://schemas.openxmlformats.org/drawingml/2006/picture">
                <pic:pic xmlns:pic="http://schemas.openxmlformats.org/drawingml/2006/picture">
                  <pic:nvPicPr>
                    <pic:cNvPr id="2270" name="Picture 2270"/>
                    <pic:cNvPicPr/>
                  </pic:nvPicPr>
                  <pic:blipFill>
                    <a:blip r:embed="rId7"/>
                    <a:stretch>
                      <a:fillRect/>
                    </a:stretch>
                  </pic:blipFill>
                  <pic:spPr>
                    <a:xfrm>
                      <a:off x="0" y="0"/>
                      <a:ext cx="122395" cy="124117"/>
                    </a:xfrm>
                    <a:prstGeom prst="rect">
                      <a:avLst/>
                    </a:prstGeom>
                  </pic:spPr>
                </pic:pic>
              </a:graphicData>
            </a:graphic>
          </wp:inline>
        </w:drawing>
      </w:r>
    </w:p>
    <w:p w14:paraId="0DD19CA0" w14:textId="77777777" w:rsidR="001B6BB6" w:rsidRDefault="00000000">
      <w:pPr>
        <w:spacing w:after="10" w:line="249" w:lineRule="auto"/>
        <w:ind w:left="-5" w:hanging="10"/>
        <w:jc w:val="both"/>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Autorise </w:t>
      </w:r>
    </w:p>
    <w:p w14:paraId="3D725302" w14:textId="77777777" w:rsidR="001B6BB6" w:rsidRDefault="00000000">
      <w:pPr>
        <w:spacing w:after="0"/>
        <w:ind w:left="435"/>
      </w:pPr>
      <w:r>
        <w:rPr>
          <w:noProof/>
        </w:rPr>
        <w:drawing>
          <wp:inline distT="0" distB="0" distL="0" distR="0" wp14:anchorId="3831702D" wp14:editId="5BA93335">
            <wp:extent cx="122395" cy="124117"/>
            <wp:effectExtent l="0" t="0" r="0" b="0"/>
            <wp:docPr id="2283" name="Picture 2283"/>
            <wp:cNvGraphicFramePr/>
            <a:graphic xmlns:a="http://schemas.openxmlformats.org/drawingml/2006/main">
              <a:graphicData uri="http://schemas.openxmlformats.org/drawingml/2006/picture">
                <pic:pic xmlns:pic="http://schemas.openxmlformats.org/drawingml/2006/picture">
                  <pic:nvPicPr>
                    <pic:cNvPr id="2283" name="Picture 2283"/>
                    <pic:cNvPicPr/>
                  </pic:nvPicPr>
                  <pic:blipFill>
                    <a:blip r:embed="rId7"/>
                    <a:stretch>
                      <a:fillRect/>
                    </a:stretch>
                  </pic:blipFill>
                  <pic:spPr>
                    <a:xfrm>
                      <a:off x="0" y="0"/>
                      <a:ext cx="122395" cy="124117"/>
                    </a:xfrm>
                    <a:prstGeom prst="rect">
                      <a:avLst/>
                    </a:prstGeom>
                  </pic:spPr>
                </pic:pic>
              </a:graphicData>
            </a:graphic>
          </wp:inline>
        </w:drawing>
      </w:r>
    </w:p>
    <w:p w14:paraId="65E745FF" w14:textId="77777777" w:rsidR="001B6BB6" w:rsidRDefault="00000000">
      <w:pPr>
        <w:spacing w:after="10" w:line="249" w:lineRule="auto"/>
        <w:ind w:left="-5" w:hanging="10"/>
        <w:jc w:val="both"/>
      </w:pPr>
      <w:r>
        <w:rPr>
          <w:rFonts w:ascii="Times New Roman" w:eastAsia="Times New Roman" w:hAnsi="Times New Roman" w:cs="Times New Roman"/>
          <w:sz w:val="24"/>
        </w:rPr>
        <w:t xml:space="preserve">       Refuse </w:t>
      </w:r>
    </w:p>
    <w:p w14:paraId="74753268" w14:textId="77777777" w:rsidR="001B6BB6" w:rsidRDefault="00000000">
      <w:pPr>
        <w:spacing w:after="24"/>
      </w:pPr>
      <w:r>
        <w:rPr>
          <w:rFonts w:ascii="Times New Roman" w:eastAsia="Times New Roman" w:hAnsi="Times New Roman" w:cs="Times New Roman"/>
          <w:sz w:val="24"/>
        </w:rPr>
        <w:t xml:space="preserve"> </w:t>
      </w:r>
    </w:p>
    <w:p w14:paraId="4F1BB9C4" w14:textId="77777777" w:rsidR="001B6BB6" w:rsidRDefault="00000000">
      <w:pPr>
        <w:spacing w:after="10" w:line="249" w:lineRule="auto"/>
        <w:ind w:left="-5" w:hanging="10"/>
        <w:jc w:val="both"/>
      </w:pPr>
      <w:r>
        <w:rPr>
          <w:rFonts w:ascii="Times New Roman" w:eastAsia="Times New Roman" w:hAnsi="Times New Roman" w:cs="Times New Roman"/>
          <w:b/>
          <w:sz w:val="24"/>
        </w:rPr>
        <w:t>L’examen médical d’exploration</w:t>
      </w:r>
      <w:r>
        <w:rPr>
          <w:rFonts w:ascii="Times New Roman" w:eastAsia="Times New Roman" w:hAnsi="Times New Roman" w:cs="Times New Roman"/>
          <w:sz w:val="24"/>
        </w:rPr>
        <w:t xml:space="preserve"> mis en place pour évaluer l’état de santé du patient, les pathologies, les actes, interventions et traitements envisagés, les risques inhérents à ces différents actes, interventions et traitements. </w:t>
      </w:r>
    </w:p>
    <w:p w14:paraId="75B262F3" w14:textId="77777777" w:rsidR="001B6BB6" w:rsidRDefault="00000000">
      <w:pPr>
        <w:spacing w:after="0"/>
      </w:pPr>
      <w:r>
        <w:rPr>
          <w:rFonts w:ascii="Times New Roman" w:eastAsia="Times New Roman" w:hAnsi="Times New Roman" w:cs="Times New Roman"/>
          <w:sz w:val="24"/>
        </w:rPr>
        <w:t xml:space="preserve"> </w:t>
      </w:r>
    </w:p>
    <w:p w14:paraId="578B00CF" w14:textId="77777777" w:rsidR="001B6BB6" w:rsidRDefault="00000000">
      <w:pPr>
        <w:spacing w:after="10" w:line="249" w:lineRule="auto"/>
        <w:ind w:left="-5" w:hanging="10"/>
        <w:jc w:val="both"/>
      </w:pPr>
      <w:r>
        <w:rPr>
          <w:rFonts w:ascii="Times New Roman" w:eastAsia="Times New Roman" w:hAnsi="Times New Roman" w:cs="Times New Roman"/>
          <w:sz w:val="24"/>
        </w:rPr>
        <w:t xml:space="preserve">L’examen médical peut faire appel à des sédations graduées suivant les informations transmises au verso du document, de sorte qu’il se réalise dans le respect de l’intégrité de la personne.  </w:t>
      </w:r>
    </w:p>
    <w:p w14:paraId="0AAADAD9" w14:textId="77777777" w:rsidR="001B6BB6" w:rsidRDefault="00000000">
      <w:pPr>
        <w:spacing w:after="22"/>
      </w:pPr>
      <w:r>
        <w:rPr>
          <w:rFonts w:ascii="Times New Roman" w:eastAsia="Times New Roman" w:hAnsi="Times New Roman" w:cs="Times New Roman"/>
          <w:sz w:val="24"/>
        </w:rPr>
        <w:t xml:space="preserve"> </w:t>
      </w:r>
    </w:p>
    <w:p w14:paraId="579A5B8C" w14:textId="77777777" w:rsidR="001B6BB6" w:rsidRDefault="00000000">
      <w:pPr>
        <w:spacing w:after="10" w:line="249" w:lineRule="auto"/>
        <w:ind w:left="-5" w:hanging="10"/>
        <w:jc w:val="both"/>
      </w:pPr>
      <w:r>
        <w:rPr>
          <w:rFonts w:ascii="Times New Roman" w:eastAsia="Times New Roman" w:hAnsi="Times New Roman" w:cs="Times New Roman"/>
          <w:sz w:val="24"/>
        </w:rPr>
        <w:t xml:space="preserve">Au cours de l’examen, j’autorise les actes qui suivent s’ils s’avèrent nécessaires : </w:t>
      </w:r>
    </w:p>
    <w:p w14:paraId="57B6E3D9" w14:textId="77777777" w:rsidR="001B6BB6" w:rsidRDefault="00000000">
      <w:pPr>
        <w:spacing w:after="0"/>
      </w:pPr>
      <w:r>
        <w:rPr>
          <w:rFonts w:ascii="Times New Roman" w:eastAsia="Times New Roman" w:hAnsi="Times New Roman" w:cs="Times New Roman"/>
          <w:sz w:val="24"/>
        </w:rPr>
        <w:t xml:space="preserve"> </w:t>
      </w:r>
    </w:p>
    <w:p w14:paraId="1E4FDB71" w14:textId="77777777" w:rsidR="001B6BB6" w:rsidRDefault="00000000">
      <w:pPr>
        <w:spacing w:after="0"/>
        <w:ind w:left="375"/>
      </w:pPr>
      <w:r>
        <w:rPr>
          <w:noProof/>
        </w:rPr>
        <w:drawing>
          <wp:inline distT="0" distB="0" distL="0" distR="0" wp14:anchorId="051E5DB6" wp14:editId="78FDC058">
            <wp:extent cx="122395" cy="124117"/>
            <wp:effectExtent l="0" t="0" r="0" b="0"/>
            <wp:docPr id="2315" name="Picture 2315"/>
            <wp:cNvGraphicFramePr/>
            <a:graphic xmlns:a="http://schemas.openxmlformats.org/drawingml/2006/main">
              <a:graphicData uri="http://schemas.openxmlformats.org/drawingml/2006/picture">
                <pic:pic xmlns:pic="http://schemas.openxmlformats.org/drawingml/2006/picture">
                  <pic:nvPicPr>
                    <pic:cNvPr id="2315" name="Picture 2315"/>
                    <pic:cNvPicPr/>
                  </pic:nvPicPr>
                  <pic:blipFill>
                    <a:blip r:embed="rId7"/>
                    <a:stretch>
                      <a:fillRect/>
                    </a:stretch>
                  </pic:blipFill>
                  <pic:spPr>
                    <a:xfrm>
                      <a:off x="0" y="0"/>
                      <a:ext cx="122395" cy="124117"/>
                    </a:xfrm>
                    <a:prstGeom prst="rect">
                      <a:avLst/>
                    </a:prstGeom>
                  </pic:spPr>
                </pic:pic>
              </a:graphicData>
            </a:graphic>
          </wp:inline>
        </w:drawing>
      </w:r>
    </w:p>
    <w:p w14:paraId="78A24F32" w14:textId="77777777" w:rsidR="001B6BB6" w:rsidRDefault="00000000">
      <w:pPr>
        <w:spacing w:after="10" w:line="249" w:lineRule="auto"/>
        <w:ind w:left="-5" w:hanging="10"/>
        <w:jc w:val="both"/>
      </w:pPr>
      <w:r>
        <w:rPr>
          <w:rFonts w:ascii="Times New Roman" w:eastAsia="Times New Roman" w:hAnsi="Times New Roman" w:cs="Times New Roman"/>
          <w:sz w:val="24"/>
        </w:rPr>
        <w:t xml:space="preserve">      Un détartrage, </w:t>
      </w:r>
    </w:p>
    <w:p w14:paraId="05C52681" w14:textId="77777777" w:rsidR="001B6BB6" w:rsidRDefault="00000000">
      <w:pPr>
        <w:spacing w:after="0"/>
        <w:ind w:left="375"/>
      </w:pPr>
      <w:r>
        <w:rPr>
          <w:noProof/>
        </w:rPr>
        <w:drawing>
          <wp:inline distT="0" distB="0" distL="0" distR="0" wp14:anchorId="39C8D6C5" wp14:editId="68E4257F">
            <wp:extent cx="122395" cy="124117"/>
            <wp:effectExtent l="0" t="0" r="0" b="0"/>
            <wp:docPr id="2327" name="Picture 2327"/>
            <wp:cNvGraphicFramePr/>
            <a:graphic xmlns:a="http://schemas.openxmlformats.org/drawingml/2006/main">
              <a:graphicData uri="http://schemas.openxmlformats.org/drawingml/2006/picture">
                <pic:pic xmlns:pic="http://schemas.openxmlformats.org/drawingml/2006/picture">
                  <pic:nvPicPr>
                    <pic:cNvPr id="2327" name="Picture 2327"/>
                    <pic:cNvPicPr/>
                  </pic:nvPicPr>
                  <pic:blipFill>
                    <a:blip r:embed="rId7"/>
                    <a:stretch>
                      <a:fillRect/>
                    </a:stretch>
                  </pic:blipFill>
                  <pic:spPr>
                    <a:xfrm>
                      <a:off x="0" y="0"/>
                      <a:ext cx="122395" cy="124117"/>
                    </a:xfrm>
                    <a:prstGeom prst="rect">
                      <a:avLst/>
                    </a:prstGeom>
                  </pic:spPr>
                </pic:pic>
              </a:graphicData>
            </a:graphic>
          </wp:inline>
        </w:drawing>
      </w:r>
    </w:p>
    <w:p w14:paraId="7762E7B8" w14:textId="77777777" w:rsidR="001B6BB6" w:rsidRDefault="00000000">
      <w:pPr>
        <w:spacing w:after="10" w:line="249" w:lineRule="auto"/>
        <w:ind w:left="-5" w:hanging="10"/>
        <w:jc w:val="both"/>
      </w:pPr>
      <w:r>
        <w:rPr>
          <w:rFonts w:ascii="Times New Roman" w:eastAsia="Times New Roman" w:hAnsi="Times New Roman" w:cs="Times New Roman"/>
          <w:sz w:val="24"/>
        </w:rPr>
        <w:t xml:space="preserve">      Des actes de biologie, </w:t>
      </w:r>
    </w:p>
    <w:p w14:paraId="28607B47" w14:textId="77777777" w:rsidR="001B6BB6" w:rsidRDefault="00000000">
      <w:pPr>
        <w:spacing w:after="0"/>
        <w:ind w:left="375"/>
      </w:pPr>
      <w:r>
        <w:rPr>
          <w:noProof/>
        </w:rPr>
        <w:drawing>
          <wp:inline distT="0" distB="0" distL="0" distR="0" wp14:anchorId="137F627D" wp14:editId="18F217B9">
            <wp:extent cx="122395" cy="124117"/>
            <wp:effectExtent l="0" t="0" r="0" b="0"/>
            <wp:docPr id="2339" name="Picture 2339"/>
            <wp:cNvGraphicFramePr/>
            <a:graphic xmlns:a="http://schemas.openxmlformats.org/drawingml/2006/main">
              <a:graphicData uri="http://schemas.openxmlformats.org/drawingml/2006/picture">
                <pic:pic xmlns:pic="http://schemas.openxmlformats.org/drawingml/2006/picture">
                  <pic:nvPicPr>
                    <pic:cNvPr id="2339" name="Picture 2339"/>
                    <pic:cNvPicPr/>
                  </pic:nvPicPr>
                  <pic:blipFill>
                    <a:blip r:embed="rId7"/>
                    <a:stretch>
                      <a:fillRect/>
                    </a:stretch>
                  </pic:blipFill>
                  <pic:spPr>
                    <a:xfrm>
                      <a:off x="0" y="0"/>
                      <a:ext cx="122395" cy="124117"/>
                    </a:xfrm>
                    <a:prstGeom prst="rect">
                      <a:avLst/>
                    </a:prstGeom>
                  </pic:spPr>
                </pic:pic>
              </a:graphicData>
            </a:graphic>
          </wp:inline>
        </w:drawing>
      </w:r>
    </w:p>
    <w:p w14:paraId="186608F8" w14:textId="77777777" w:rsidR="001B6BB6" w:rsidRDefault="00000000">
      <w:pPr>
        <w:spacing w:after="10" w:line="249" w:lineRule="auto"/>
        <w:ind w:left="-5" w:hanging="10"/>
        <w:jc w:val="both"/>
      </w:pPr>
      <w:r>
        <w:rPr>
          <w:rFonts w:ascii="Times New Roman" w:eastAsia="Times New Roman" w:hAnsi="Times New Roman" w:cs="Times New Roman"/>
          <w:sz w:val="24"/>
        </w:rPr>
        <w:t xml:space="preserve">      Des actes d’imagerie, </w:t>
      </w:r>
    </w:p>
    <w:p w14:paraId="1D72D216" w14:textId="77777777" w:rsidR="001B6BB6" w:rsidRDefault="00000000">
      <w:pPr>
        <w:spacing w:after="0"/>
        <w:ind w:left="375"/>
      </w:pPr>
      <w:r>
        <w:rPr>
          <w:noProof/>
        </w:rPr>
        <w:drawing>
          <wp:inline distT="0" distB="0" distL="0" distR="0" wp14:anchorId="1A84E488" wp14:editId="77400474">
            <wp:extent cx="122395" cy="124117"/>
            <wp:effectExtent l="0" t="0" r="0" b="0"/>
            <wp:docPr id="2351" name="Picture 2351"/>
            <wp:cNvGraphicFramePr/>
            <a:graphic xmlns:a="http://schemas.openxmlformats.org/drawingml/2006/main">
              <a:graphicData uri="http://schemas.openxmlformats.org/drawingml/2006/picture">
                <pic:pic xmlns:pic="http://schemas.openxmlformats.org/drawingml/2006/picture">
                  <pic:nvPicPr>
                    <pic:cNvPr id="2351" name="Picture 2351"/>
                    <pic:cNvPicPr/>
                  </pic:nvPicPr>
                  <pic:blipFill>
                    <a:blip r:embed="rId7"/>
                    <a:stretch>
                      <a:fillRect/>
                    </a:stretch>
                  </pic:blipFill>
                  <pic:spPr>
                    <a:xfrm>
                      <a:off x="0" y="0"/>
                      <a:ext cx="122395" cy="124117"/>
                    </a:xfrm>
                    <a:prstGeom prst="rect">
                      <a:avLst/>
                    </a:prstGeom>
                  </pic:spPr>
                </pic:pic>
              </a:graphicData>
            </a:graphic>
          </wp:inline>
        </w:drawing>
      </w:r>
    </w:p>
    <w:p w14:paraId="58F24E1D" w14:textId="77777777" w:rsidR="001B6BB6" w:rsidRDefault="00000000">
      <w:pPr>
        <w:spacing w:after="10" w:line="249" w:lineRule="auto"/>
        <w:ind w:left="-5" w:hanging="10"/>
        <w:jc w:val="both"/>
      </w:pPr>
      <w:r>
        <w:rPr>
          <w:rFonts w:ascii="Times New Roman" w:eastAsia="Times New Roman" w:hAnsi="Times New Roman" w:cs="Times New Roman"/>
          <w:sz w:val="24"/>
        </w:rPr>
        <w:lastRenderedPageBreak/>
        <w:t xml:space="preserve">      Un électrocardiogramme </w:t>
      </w:r>
    </w:p>
    <w:p w14:paraId="62AB8A3F" w14:textId="77777777" w:rsidR="001B6BB6" w:rsidRDefault="00000000">
      <w:pPr>
        <w:spacing w:after="17"/>
      </w:pPr>
      <w:r>
        <w:rPr>
          <w:rFonts w:ascii="Times New Roman" w:eastAsia="Times New Roman" w:hAnsi="Times New Roman" w:cs="Times New Roman"/>
          <w:sz w:val="24"/>
        </w:rPr>
        <w:t xml:space="preserve"> </w:t>
      </w:r>
    </w:p>
    <w:p w14:paraId="69E37950" w14:textId="77777777" w:rsidR="001B6BB6" w:rsidRDefault="00000000">
      <w:pPr>
        <w:spacing w:after="10" w:line="249" w:lineRule="auto"/>
        <w:ind w:left="-5" w:hanging="10"/>
        <w:jc w:val="both"/>
      </w:pPr>
      <w:r>
        <w:rPr>
          <w:rFonts w:ascii="Times New Roman" w:eastAsia="Times New Roman" w:hAnsi="Times New Roman" w:cs="Times New Roman"/>
          <w:sz w:val="24"/>
        </w:rPr>
        <w:t xml:space="preserve">En cas d’intervention chirurgicale ou pour tout acte autre que ceux autorisés ci-dessus une nouvelle recherche du consentement devra être effectuée (Consentement pour les actes invasifs). </w:t>
      </w:r>
    </w:p>
    <w:p w14:paraId="56B1D784" w14:textId="77777777" w:rsidR="001B6BB6" w:rsidRDefault="00000000">
      <w:pPr>
        <w:spacing w:after="2"/>
      </w:pPr>
      <w:r>
        <w:rPr>
          <w:rFonts w:ascii="Times New Roman" w:eastAsia="Times New Roman" w:hAnsi="Times New Roman" w:cs="Times New Roman"/>
          <w:sz w:val="24"/>
        </w:rPr>
        <w:t xml:space="preserve"> </w:t>
      </w:r>
    </w:p>
    <w:p w14:paraId="7FA5BA8A" w14:textId="77777777" w:rsidR="001B6BB6" w:rsidRDefault="00000000">
      <w:pPr>
        <w:tabs>
          <w:tab w:val="center" w:pos="4957"/>
          <w:tab w:val="right" w:pos="9029"/>
        </w:tabs>
        <w:spacing w:after="10" w:line="249" w:lineRule="auto"/>
        <w:ind w:left="-15"/>
      </w:pPr>
      <w:r>
        <w:rPr>
          <w:rFonts w:ascii="Times New Roman" w:eastAsia="Times New Roman" w:hAnsi="Times New Roman" w:cs="Times New Roman"/>
          <w:sz w:val="24"/>
        </w:rPr>
        <w:t xml:space="preserve">Fait à………………………le……………….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Signature du tuteur  </w:t>
      </w:r>
    </w:p>
    <w:p w14:paraId="13F24D4D" w14:textId="77777777" w:rsidR="001B6BB6" w:rsidRDefault="00000000">
      <w:pPr>
        <w:spacing w:after="0"/>
      </w:pPr>
      <w:r>
        <w:t xml:space="preserve"> </w:t>
      </w:r>
    </w:p>
    <w:p w14:paraId="518C3E8A" w14:textId="77777777" w:rsidR="001B6BB6" w:rsidRDefault="00000000">
      <w:pPr>
        <w:spacing w:after="158"/>
      </w:pPr>
      <w:r>
        <w:t xml:space="preserve"> </w:t>
      </w:r>
    </w:p>
    <w:p w14:paraId="0C481D7C" w14:textId="77777777" w:rsidR="001B6BB6" w:rsidRDefault="00000000">
      <w:r>
        <w:t xml:space="preserve"> </w:t>
      </w:r>
    </w:p>
    <w:p w14:paraId="459FE05C" w14:textId="77777777" w:rsidR="001B6BB6" w:rsidRDefault="00000000">
      <w:pPr>
        <w:spacing w:after="192"/>
      </w:pPr>
      <w:r>
        <w:rPr>
          <w:u w:val="single" w:color="000000"/>
        </w:rPr>
        <w:t>Note d’information sur les risques liés aux interventions pouvant être réalisé au cours de la première</w:t>
      </w:r>
      <w:r>
        <w:t xml:space="preserve"> </w:t>
      </w:r>
      <w:r>
        <w:rPr>
          <w:u w:val="single" w:color="000000"/>
        </w:rPr>
        <w:t>consultation :</w:t>
      </w:r>
      <w:r>
        <w:t xml:space="preserve">  </w:t>
      </w:r>
    </w:p>
    <w:p w14:paraId="216EF9BF" w14:textId="77777777" w:rsidR="001B6BB6" w:rsidRDefault="00000000">
      <w:pPr>
        <w:tabs>
          <w:tab w:val="center" w:pos="411"/>
          <w:tab w:val="center" w:pos="2676"/>
        </w:tabs>
        <w:spacing w:after="159"/>
      </w:pPr>
      <w:r>
        <w:tab/>
      </w:r>
      <w:r>
        <w:rPr>
          <w:rFonts w:ascii="Wingdings" w:eastAsia="Wingdings" w:hAnsi="Wingdings" w:cs="Wingdings"/>
        </w:rPr>
        <w:t>▪</w:t>
      </w:r>
      <w:r>
        <w:rPr>
          <w:rFonts w:ascii="Arial" w:eastAsia="Arial" w:hAnsi="Arial" w:cs="Arial"/>
        </w:rPr>
        <w:t xml:space="preserve"> </w:t>
      </w:r>
      <w:r>
        <w:rPr>
          <w:rFonts w:ascii="Arial" w:eastAsia="Arial" w:hAnsi="Arial" w:cs="Arial"/>
        </w:rPr>
        <w:tab/>
      </w:r>
      <w:r>
        <w:rPr>
          <w:b/>
        </w:rPr>
        <w:t xml:space="preserve">Extractions dentaires : risques chirurgicaux </w:t>
      </w:r>
    </w:p>
    <w:p w14:paraId="396FE370" w14:textId="77777777" w:rsidR="001B6BB6" w:rsidRDefault="00000000">
      <w:pPr>
        <w:numPr>
          <w:ilvl w:val="0"/>
          <w:numId w:val="12"/>
        </w:numPr>
        <w:spacing w:line="258" w:lineRule="auto"/>
        <w:ind w:hanging="230"/>
        <w:jc w:val="both"/>
      </w:pPr>
      <w:r>
        <w:t xml:space="preserve">Paresthésie </w:t>
      </w:r>
      <w:proofErr w:type="spellStart"/>
      <w:r>
        <w:t>labio</w:t>
      </w:r>
      <w:proofErr w:type="spellEnd"/>
      <w:r>
        <w:t xml:space="preserve">-mentonnière et/ou linguale temporaire ou permanente : perte de sensibilité de la lèvre, du menton et/ou de la langue pouvant s’estomper avec le temps ou pouvant persister de façon permanente. </w:t>
      </w:r>
    </w:p>
    <w:p w14:paraId="14750B5E" w14:textId="77777777" w:rsidR="001B6BB6" w:rsidRDefault="00000000">
      <w:pPr>
        <w:numPr>
          <w:ilvl w:val="0"/>
          <w:numId w:val="12"/>
        </w:numPr>
        <w:spacing w:line="258" w:lineRule="auto"/>
        <w:ind w:hanging="230"/>
        <w:jc w:val="both"/>
      </w:pPr>
      <w:r>
        <w:t xml:space="preserve">Dysesthésie </w:t>
      </w:r>
      <w:proofErr w:type="spellStart"/>
      <w:r>
        <w:t>labio</w:t>
      </w:r>
      <w:proofErr w:type="spellEnd"/>
      <w:r>
        <w:t xml:space="preserve">-mentonnière et/ou linguale temporaire ou permanente : perception différente des sensations pouvant résulter en de la douleur ou de l’inconfort au niveau de la lèvre, du menton et/ou de la langue. </w:t>
      </w:r>
    </w:p>
    <w:p w14:paraId="6941DA28" w14:textId="77777777" w:rsidR="001B6BB6" w:rsidRDefault="00000000">
      <w:pPr>
        <w:numPr>
          <w:ilvl w:val="0"/>
          <w:numId w:val="12"/>
        </w:numPr>
        <w:spacing w:line="258" w:lineRule="auto"/>
        <w:ind w:hanging="230"/>
        <w:jc w:val="both"/>
      </w:pPr>
      <w:r>
        <w:t xml:space="preserve">Alvéolite : douleur vive causée par la perte prématurée du caillot sanguin assurant la guérison. L’incidence de ce risque est de 1 à 5%. </w:t>
      </w:r>
    </w:p>
    <w:p w14:paraId="1E5B1589" w14:textId="77777777" w:rsidR="001B6BB6" w:rsidRDefault="00000000">
      <w:pPr>
        <w:numPr>
          <w:ilvl w:val="0"/>
          <w:numId w:val="12"/>
        </w:numPr>
        <w:spacing w:line="258" w:lineRule="auto"/>
        <w:ind w:hanging="230"/>
        <w:jc w:val="both"/>
      </w:pPr>
      <w:r>
        <w:t xml:space="preserve">Infection </w:t>
      </w:r>
    </w:p>
    <w:p w14:paraId="2755FCEA" w14:textId="77777777" w:rsidR="001B6BB6" w:rsidRDefault="00000000">
      <w:pPr>
        <w:numPr>
          <w:ilvl w:val="0"/>
          <w:numId w:val="12"/>
        </w:numPr>
        <w:spacing w:after="192" w:line="258" w:lineRule="auto"/>
        <w:ind w:hanging="230"/>
        <w:jc w:val="both"/>
      </w:pPr>
      <w:r>
        <w:t xml:space="preserve">Trismus : difficulté à ouvrir la bouche. </w:t>
      </w:r>
    </w:p>
    <w:p w14:paraId="28D4762D" w14:textId="77777777" w:rsidR="001B6BB6" w:rsidRDefault="00000000">
      <w:pPr>
        <w:numPr>
          <w:ilvl w:val="1"/>
          <w:numId w:val="12"/>
        </w:numPr>
        <w:spacing w:after="159"/>
        <w:ind w:left="713" w:hanging="360"/>
      </w:pPr>
      <w:r>
        <w:rPr>
          <w:b/>
        </w:rPr>
        <w:t xml:space="preserve">Réalisation d’actes de biologie :   </w:t>
      </w:r>
    </w:p>
    <w:p w14:paraId="79C655AA" w14:textId="77777777" w:rsidR="001B6BB6" w:rsidRDefault="00000000">
      <w:pPr>
        <w:spacing w:line="258" w:lineRule="auto"/>
        <w:ind w:left="-5" w:hanging="10"/>
        <w:jc w:val="both"/>
      </w:pPr>
      <w:r>
        <w:t xml:space="preserve">La prise de sang est un examen médical qui consiste à prélever un échantillon de sang, généralement dans une veine du bras. </w:t>
      </w:r>
    </w:p>
    <w:p w14:paraId="48D1593D" w14:textId="77777777" w:rsidR="001B6BB6" w:rsidRDefault="00000000">
      <w:pPr>
        <w:spacing w:line="258" w:lineRule="auto"/>
        <w:ind w:left="-5" w:hanging="10"/>
        <w:jc w:val="both"/>
      </w:pPr>
      <w:r>
        <w:t xml:space="preserve">La prise de sang fournit des informations essentielles sur votre état de santé. Elle est souvent prescrite pour : </w:t>
      </w:r>
    </w:p>
    <w:p w14:paraId="22594404" w14:textId="77777777" w:rsidR="001B6BB6" w:rsidRDefault="00000000">
      <w:pPr>
        <w:numPr>
          <w:ilvl w:val="1"/>
          <w:numId w:val="13"/>
        </w:numPr>
        <w:spacing w:line="258" w:lineRule="auto"/>
        <w:ind w:hanging="360"/>
        <w:jc w:val="both"/>
      </w:pPr>
      <w:r>
        <w:t xml:space="preserve">Diagnostiquer ou confirmer une maladie, qu'elle soit aiguë ou chronique. </w:t>
      </w:r>
    </w:p>
    <w:p w14:paraId="55931289" w14:textId="77777777" w:rsidR="001B6BB6" w:rsidRDefault="00000000">
      <w:pPr>
        <w:numPr>
          <w:ilvl w:val="1"/>
          <w:numId w:val="13"/>
        </w:numPr>
        <w:spacing w:line="258" w:lineRule="auto"/>
        <w:ind w:hanging="360"/>
        <w:jc w:val="both"/>
      </w:pPr>
      <w:r>
        <w:t xml:space="preserve">Évaluer l'efficacité d'un traitement médicamenteux à long terme. </w:t>
      </w:r>
    </w:p>
    <w:p w14:paraId="063AFDBF" w14:textId="77777777" w:rsidR="001B6BB6" w:rsidRDefault="00000000">
      <w:pPr>
        <w:numPr>
          <w:ilvl w:val="1"/>
          <w:numId w:val="13"/>
        </w:numPr>
        <w:spacing w:line="258" w:lineRule="auto"/>
        <w:ind w:hanging="360"/>
        <w:jc w:val="both"/>
      </w:pPr>
      <w:r>
        <w:t xml:space="preserve">Effectuer un bilan de santé général. </w:t>
      </w:r>
    </w:p>
    <w:p w14:paraId="2025320D" w14:textId="77777777" w:rsidR="001B6BB6" w:rsidRDefault="00000000">
      <w:pPr>
        <w:numPr>
          <w:ilvl w:val="1"/>
          <w:numId w:val="13"/>
        </w:numPr>
        <w:spacing w:line="258" w:lineRule="auto"/>
        <w:ind w:hanging="360"/>
        <w:jc w:val="both"/>
      </w:pPr>
      <w:r>
        <w:t xml:space="preserve">Réaliser un dépistage. </w:t>
      </w:r>
    </w:p>
    <w:p w14:paraId="4DFDCFE6" w14:textId="77777777" w:rsidR="001B6BB6" w:rsidRDefault="00000000">
      <w:pPr>
        <w:spacing w:after="193" w:line="258" w:lineRule="auto"/>
        <w:ind w:left="-5" w:hanging="10"/>
        <w:jc w:val="both"/>
      </w:pPr>
      <w:r>
        <w:t xml:space="preserve">Il est souvent nécessaire d'être à jeun avant une prise de sang. Cela signifie ne rien manger ni boire, excepté de l'eau, pendant les douze heures précédant le prélèvement. Vous serez installé(e) en position assise ou allongée dans une petite salle. Une infirmière pose un garrot, prélève le sang avec une aiguille et remplit un ou plusieurs tubes selon les analyses à effectue. Un pansement compressif est appliqué. La procédure est rapide (quelques minutes) et peu douloureuse. Un patch antidouleur ou une crème anesthésiante peut être appliqué avant le prélèvement. </w:t>
      </w:r>
    </w:p>
    <w:p w14:paraId="1D1D86B8" w14:textId="77777777" w:rsidR="001B6BB6" w:rsidRDefault="00000000">
      <w:pPr>
        <w:numPr>
          <w:ilvl w:val="1"/>
          <w:numId w:val="12"/>
        </w:numPr>
        <w:spacing w:after="159"/>
        <w:ind w:left="713" w:hanging="360"/>
      </w:pPr>
      <w:r>
        <w:rPr>
          <w:b/>
        </w:rPr>
        <w:lastRenderedPageBreak/>
        <w:t xml:space="preserve">Risques liés à la réalisation d'un ECG (Électrocardiogramme) </w:t>
      </w:r>
    </w:p>
    <w:p w14:paraId="10C6045B" w14:textId="77777777" w:rsidR="001B6BB6" w:rsidRDefault="00000000">
      <w:pPr>
        <w:spacing w:line="258" w:lineRule="auto"/>
        <w:ind w:left="-5" w:hanging="10"/>
        <w:jc w:val="both"/>
      </w:pPr>
      <w:r>
        <w:t xml:space="preserve">La réalisation d'un électrocardiogramme (ECG) est une procédure courante et non invasive utilisée pour mesurer l'activité électrique du cœur. Bien que l'ECG soit généralement sûr, il existe quelques risques mineurs et considérations à prendre en compte : irritation de la peau, inconfort lors du retrait des électrodes, anxiété </w:t>
      </w:r>
    </w:p>
    <w:p w14:paraId="17A1E3CA" w14:textId="77777777" w:rsidR="001B6BB6" w:rsidRDefault="00000000">
      <w:r>
        <w:t xml:space="preserve"> </w:t>
      </w:r>
    </w:p>
    <w:p w14:paraId="38AC6FDC" w14:textId="77777777" w:rsidR="001B6BB6" w:rsidRDefault="00000000">
      <w:pPr>
        <w:spacing w:after="0"/>
      </w:pPr>
      <w:r>
        <w:t xml:space="preserve"> </w:t>
      </w:r>
    </w:p>
    <w:p w14:paraId="4A4C1C98" w14:textId="77777777" w:rsidR="001B6BB6" w:rsidRDefault="00000000">
      <w:pPr>
        <w:numPr>
          <w:ilvl w:val="1"/>
          <w:numId w:val="12"/>
        </w:numPr>
        <w:spacing w:after="159"/>
        <w:ind w:left="713" w:hanging="360"/>
      </w:pPr>
      <w:r>
        <w:rPr>
          <w:b/>
        </w:rPr>
        <w:t xml:space="preserve">Réalisation d'un scanner </w:t>
      </w:r>
    </w:p>
    <w:p w14:paraId="64F1CC9B" w14:textId="77777777" w:rsidR="001B6BB6" w:rsidRDefault="00000000">
      <w:pPr>
        <w:spacing w:line="258" w:lineRule="auto"/>
        <w:ind w:left="-5" w:hanging="10"/>
        <w:jc w:val="both"/>
      </w:pPr>
      <w:r>
        <w:t>Un scanner est un examen médical qui utilise des rayons X pour produire des images en coupe du corps humain. Il fournit des informations cruciales pour un diagnostic précis.</w:t>
      </w:r>
      <w:r>
        <w:rPr>
          <w:b/>
        </w:rPr>
        <w:t xml:space="preserve"> </w:t>
      </w:r>
    </w:p>
    <w:p w14:paraId="2B434AE6" w14:textId="77777777" w:rsidR="001B6BB6" w:rsidRDefault="00000000">
      <w:pPr>
        <w:spacing w:after="158"/>
      </w:pPr>
      <w:r>
        <w:t xml:space="preserve"> </w:t>
      </w:r>
    </w:p>
    <w:p w14:paraId="4F9D254E" w14:textId="77777777" w:rsidR="001B6BB6" w:rsidRDefault="00000000">
      <w:pPr>
        <w:spacing w:after="158"/>
        <w:ind w:left="-5" w:hanging="10"/>
      </w:pPr>
      <w:r>
        <w:rPr>
          <w:u w:val="single" w:color="000000"/>
        </w:rPr>
        <w:t>Déroulement de l'examen :</w:t>
      </w:r>
      <w:r>
        <w:t xml:space="preserve"> </w:t>
      </w:r>
    </w:p>
    <w:p w14:paraId="5AAD13AD" w14:textId="77777777" w:rsidR="001B6BB6" w:rsidRDefault="00000000">
      <w:pPr>
        <w:spacing w:line="258" w:lineRule="auto"/>
        <w:ind w:left="-5" w:hanging="10"/>
        <w:jc w:val="both"/>
      </w:pPr>
      <w:r>
        <w:t xml:space="preserve">Vous serez allongé sur un lit qui se déplace dans un anneau. L'examen dure environ 15 minutes. Vous pourriez recevoir une injection intraveineuse. Des produits iodés peuvent être utilisés. Ils sont généralement bien tolérés, mais peuvent parfois provoquer une sensation de chaleur. </w:t>
      </w:r>
    </w:p>
    <w:p w14:paraId="3CD8B4BB" w14:textId="77777777" w:rsidR="001B6BB6" w:rsidRDefault="00000000">
      <w:pPr>
        <w:spacing w:after="194"/>
        <w:ind w:left="-5" w:hanging="10"/>
      </w:pPr>
      <w:r>
        <w:rPr>
          <w:u w:val="single" w:color="000000"/>
        </w:rPr>
        <w:t>Risques et précautions :</w:t>
      </w:r>
      <w:r>
        <w:t xml:space="preserve"> </w:t>
      </w:r>
    </w:p>
    <w:p w14:paraId="609A3E73" w14:textId="77777777" w:rsidR="001B6BB6" w:rsidRDefault="00000000">
      <w:pPr>
        <w:numPr>
          <w:ilvl w:val="1"/>
          <w:numId w:val="12"/>
        </w:numPr>
        <w:spacing w:after="34" w:line="258" w:lineRule="auto"/>
        <w:ind w:left="713" w:hanging="360"/>
      </w:pPr>
      <w:r>
        <w:rPr>
          <w:b/>
        </w:rPr>
        <w:t>Risques mineurs</w:t>
      </w:r>
      <w:r>
        <w:t xml:space="preserve"> : Petits hématomes ou fuites du produit sous la peau. </w:t>
      </w:r>
    </w:p>
    <w:p w14:paraId="185ABDC9" w14:textId="77777777" w:rsidR="001B6BB6" w:rsidRDefault="00000000">
      <w:pPr>
        <w:numPr>
          <w:ilvl w:val="1"/>
          <w:numId w:val="12"/>
        </w:numPr>
        <w:spacing w:after="34" w:line="258" w:lineRule="auto"/>
        <w:ind w:left="713" w:hanging="360"/>
      </w:pPr>
      <w:r>
        <w:rPr>
          <w:b/>
        </w:rPr>
        <w:t>Réactions allergiques</w:t>
      </w:r>
      <w:r>
        <w:t xml:space="preserve"> : Possible intolérance au produit iodé, surtout si vous avez des antécédents allergiques. Ces réactions sont généralement bénignes. </w:t>
      </w:r>
    </w:p>
    <w:p w14:paraId="6C2F9318" w14:textId="77777777" w:rsidR="001B6BB6" w:rsidRDefault="00000000">
      <w:pPr>
        <w:numPr>
          <w:ilvl w:val="1"/>
          <w:numId w:val="12"/>
        </w:numPr>
        <w:spacing w:after="191" w:line="258" w:lineRule="auto"/>
        <w:ind w:left="713" w:hanging="360"/>
      </w:pPr>
      <w:r>
        <w:rPr>
          <w:b/>
        </w:rPr>
        <w:t>Risques rares</w:t>
      </w:r>
      <w:r>
        <w:t xml:space="preserve"> : Complications graves sont très rares. </w:t>
      </w:r>
    </w:p>
    <w:p w14:paraId="782B0011" w14:textId="77777777" w:rsidR="001B6BB6" w:rsidRDefault="00000000">
      <w:pPr>
        <w:pStyle w:val="Titre3"/>
        <w:tabs>
          <w:tab w:val="center" w:pos="710"/>
        </w:tabs>
        <w:ind w:left="-15" w:firstLine="0"/>
      </w:pPr>
      <w:r>
        <w:rPr>
          <w:rFonts w:ascii="Wingdings" w:eastAsia="Wingdings" w:hAnsi="Wingdings" w:cs="Wingdings"/>
          <w:b w:val="0"/>
          <w:u w:val="none"/>
        </w:rPr>
        <w:t>▪</w:t>
      </w:r>
      <w:r>
        <w:rPr>
          <w:rFonts w:ascii="Arial" w:eastAsia="Arial" w:hAnsi="Arial" w:cs="Arial"/>
          <w:b w:val="0"/>
          <w:u w:val="none"/>
        </w:rPr>
        <w:t xml:space="preserve"> </w:t>
      </w:r>
      <w:r>
        <w:rPr>
          <w:rFonts w:ascii="Arial" w:eastAsia="Arial" w:hAnsi="Arial" w:cs="Arial"/>
          <w:b w:val="0"/>
          <w:u w:val="none"/>
        </w:rPr>
        <w:tab/>
      </w:r>
      <w:r>
        <w:t>MEOPA</w:t>
      </w:r>
      <w:r>
        <w:rPr>
          <w:u w:val="none"/>
        </w:rPr>
        <w:t xml:space="preserve">  </w:t>
      </w:r>
    </w:p>
    <w:p w14:paraId="24AE9239" w14:textId="77777777" w:rsidR="001B6BB6" w:rsidRDefault="00000000">
      <w:pPr>
        <w:spacing w:after="159"/>
        <w:ind w:left="355" w:hanging="10"/>
      </w:pPr>
      <w:r>
        <w:rPr>
          <w:b/>
          <w:i/>
          <w:u w:val="single" w:color="000000"/>
        </w:rPr>
        <w:t>Contre-indications :</w:t>
      </w:r>
      <w:r>
        <w:rPr>
          <w:b/>
          <w:i/>
        </w:rPr>
        <w:t xml:space="preserve"> </w:t>
      </w:r>
    </w:p>
    <w:p w14:paraId="582C6CE5" w14:textId="77777777" w:rsidR="001B6BB6" w:rsidRDefault="00000000">
      <w:pPr>
        <w:numPr>
          <w:ilvl w:val="0"/>
          <w:numId w:val="14"/>
        </w:numPr>
        <w:spacing w:after="159"/>
        <w:ind w:hanging="118"/>
      </w:pPr>
      <w:r>
        <w:rPr>
          <w:b/>
        </w:rPr>
        <w:t xml:space="preserve">Patient ventilé sous O2 pur </w:t>
      </w:r>
    </w:p>
    <w:p w14:paraId="3B5A8561" w14:textId="77777777" w:rsidR="001B6BB6" w:rsidRDefault="00000000">
      <w:pPr>
        <w:numPr>
          <w:ilvl w:val="0"/>
          <w:numId w:val="14"/>
        </w:numPr>
        <w:spacing w:after="159"/>
        <w:ind w:hanging="118"/>
      </w:pPr>
      <w:r>
        <w:rPr>
          <w:b/>
        </w:rPr>
        <w:t xml:space="preserve">Traumatisme crânien </w:t>
      </w:r>
    </w:p>
    <w:p w14:paraId="1ABB9B34" w14:textId="77777777" w:rsidR="001B6BB6" w:rsidRDefault="00000000">
      <w:pPr>
        <w:numPr>
          <w:ilvl w:val="0"/>
          <w:numId w:val="14"/>
        </w:numPr>
        <w:spacing w:after="159"/>
        <w:ind w:hanging="118"/>
      </w:pPr>
      <w:r>
        <w:rPr>
          <w:b/>
        </w:rPr>
        <w:t xml:space="preserve">Traumatisme facial </w:t>
      </w:r>
    </w:p>
    <w:p w14:paraId="2A3DDFE0" w14:textId="77777777" w:rsidR="001B6BB6" w:rsidRDefault="00000000">
      <w:pPr>
        <w:numPr>
          <w:ilvl w:val="0"/>
          <w:numId w:val="14"/>
        </w:numPr>
        <w:spacing w:after="159"/>
        <w:ind w:hanging="118"/>
      </w:pPr>
      <w:r>
        <w:rPr>
          <w:b/>
        </w:rPr>
        <w:t xml:space="preserve">Pneumothorax </w:t>
      </w:r>
    </w:p>
    <w:p w14:paraId="22C260E1" w14:textId="77777777" w:rsidR="001B6BB6" w:rsidRDefault="00000000">
      <w:pPr>
        <w:numPr>
          <w:ilvl w:val="0"/>
          <w:numId w:val="14"/>
        </w:numPr>
        <w:spacing w:after="159"/>
        <w:ind w:hanging="118"/>
      </w:pPr>
      <w:r>
        <w:rPr>
          <w:b/>
        </w:rPr>
        <w:t xml:space="preserve">Bulles d’emphysème 02 nécessitant </w:t>
      </w:r>
    </w:p>
    <w:p w14:paraId="160B5CAD" w14:textId="77777777" w:rsidR="001B6BB6" w:rsidRDefault="00000000">
      <w:pPr>
        <w:numPr>
          <w:ilvl w:val="0"/>
          <w:numId w:val="14"/>
        </w:numPr>
        <w:spacing w:after="159"/>
        <w:ind w:hanging="118"/>
      </w:pPr>
      <w:r>
        <w:rPr>
          <w:b/>
        </w:rPr>
        <w:t xml:space="preserve">Embolie gazeuse </w:t>
      </w:r>
    </w:p>
    <w:p w14:paraId="4CEF1085" w14:textId="77777777" w:rsidR="001B6BB6" w:rsidRDefault="00000000">
      <w:pPr>
        <w:numPr>
          <w:ilvl w:val="0"/>
          <w:numId w:val="14"/>
        </w:numPr>
        <w:spacing w:after="159"/>
        <w:ind w:hanging="118"/>
      </w:pPr>
      <w:r>
        <w:rPr>
          <w:b/>
        </w:rPr>
        <w:t xml:space="preserve">Accident de décompression (plongée) </w:t>
      </w:r>
    </w:p>
    <w:p w14:paraId="0A599696" w14:textId="77777777" w:rsidR="001B6BB6" w:rsidRDefault="00000000">
      <w:pPr>
        <w:numPr>
          <w:ilvl w:val="0"/>
          <w:numId w:val="14"/>
        </w:numPr>
        <w:spacing w:after="159"/>
        <w:ind w:hanging="118"/>
      </w:pPr>
      <w:r>
        <w:rPr>
          <w:b/>
        </w:rPr>
        <w:t xml:space="preserve">Chirurgie récente de l’oreille moyenne, interne et chirurgie des sinus </w:t>
      </w:r>
    </w:p>
    <w:p w14:paraId="29F2AAEC" w14:textId="77777777" w:rsidR="001B6BB6" w:rsidRDefault="00000000">
      <w:pPr>
        <w:numPr>
          <w:ilvl w:val="0"/>
          <w:numId w:val="14"/>
        </w:numPr>
        <w:spacing w:after="159"/>
        <w:ind w:hanging="118"/>
      </w:pPr>
      <w:r>
        <w:rPr>
          <w:b/>
        </w:rPr>
        <w:t xml:space="preserve">Gaz ophtalmique (inf. à 3 mois) </w:t>
      </w:r>
    </w:p>
    <w:p w14:paraId="5D93DC93" w14:textId="77777777" w:rsidR="001B6BB6" w:rsidRDefault="00000000">
      <w:pPr>
        <w:numPr>
          <w:ilvl w:val="0"/>
          <w:numId w:val="14"/>
        </w:numPr>
        <w:spacing w:after="159"/>
        <w:ind w:hanging="118"/>
      </w:pPr>
      <w:r>
        <w:rPr>
          <w:b/>
        </w:rPr>
        <w:t xml:space="preserve">Anomalies neurologiques récentes </w:t>
      </w:r>
    </w:p>
    <w:p w14:paraId="0C81E020" w14:textId="77777777" w:rsidR="001B6BB6" w:rsidRDefault="00000000">
      <w:pPr>
        <w:numPr>
          <w:ilvl w:val="0"/>
          <w:numId w:val="14"/>
        </w:numPr>
        <w:spacing w:after="159"/>
        <w:ind w:hanging="118"/>
      </w:pPr>
      <w:r>
        <w:rPr>
          <w:b/>
        </w:rPr>
        <w:t xml:space="preserve">Altération de l’état de conscience </w:t>
      </w:r>
    </w:p>
    <w:p w14:paraId="6D7FF49A" w14:textId="77777777" w:rsidR="001B6BB6" w:rsidRDefault="00000000">
      <w:pPr>
        <w:spacing w:after="159"/>
        <w:ind w:left="355" w:hanging="10"/>
      </w:pPr>
      <w:r>
        <w:rPr>
          <w:b/>
          <w:i/>
          <w:u w:val="single" w:color="000000"/>
        </w:rPr>
        <w:t>Effets secondaires :</w:t>
      </w:r>
      <w:r>
        <w:rPr>
          <w:b/>
          <w:i/>
        </w:rPr>
        <w:t xml:space="preserve"> </w:t>
      </w:r>
    </w:p>
    <w:p w14:paraId="60D7B500" w14:textId="77777777" w:rsidR="001B6BB6" w:rsidRDefault="00000000">
      <w:pPr>
        <w:numPr>
          <w:ilvl w:val="0"/>
          <w:numId w:val="14"/>
        </w:numPr>
        <w:spacing w:after="159"/>
        <w:ind w:hanging="118"/>
      </w:pPr>
      <w:r>
        <w:rPr>
          <w:b/>
        </w:rPr>
        <w:lastRenderedPageBreak/>
        <w:t xml:space="preserve">Nausées </w:t>
      </w:r>
    </w:p>
    <w:p w14:paraId="4E47A0FC" w14:textId="77777777" w:rsidR="001B6BB6" w:rsidRDefault="00000000">
      <w:pPr>
        <w:numPr>
          <w:ilvl w:val="0"/>
          <w:numId w:val="14"/>
        </w:numPr>
        <w:spacing w:after="159"/>
        <w:ind w:hanging="118"/>
      </w:pPr>
      <w:r>
        <w:rPr>
          <w:b/>
        </w:rPr>
        <w:t xml:space="preserve">Vomissements </w:t>
      </w:r>
    </w:p>
    <w:p w14:paraId="2CF7B12D" w14:textId="77777777" w:rsidR="001B6BB6" w:rsidRDefault="00000000">
      <w:pPr>
        <w:numPr>
          <w:ilvl w:val="0"/>
          <w:numId w:val="14"/>
        </w:numPr>
        <w:spacing w:after="159"/>
        <w:ind w:hanging="118"/>
      </w:pPr>
      <w:r>
        <w:rPr>
          <w:b/>
        </w:rPr>
        <w:t xml:space="preserve">Vertiges </w:t>
      </w:r>
    </w:p>
    <w:p w14:paraId="3554C5B8" w14:textId="77777777" w:rsidR="001B6BB6" w:rsidRDefault="00000000">
      <w:pPr>
        <w:numPr>
          <w:ilvl w:val="0"/>
          <w:numId w:val="14"/>
        </w:numPr>
        <w:spacing w:after="159"/>
        <w:ind w:hanging="118"/>
      </w:pPr>
      <w:r>
        <w:rPr>
          <w:b/>
        </w:rPr>
        <w:t xml:space="preserve">Hallucinations </w:t>
      </w:r>
    </w:p>
    <w:p w14:paraId="1031EA6E" w14:textId="77777777" w:rsidR="001B6BB6" w:rsidRDefault="00000000">
      <w:pPr>
        <w:numPr>
          <w:ilvl w:val="0"/>
          <w:numId w:val="14"/>
        </w:numPr>
        <w:spacing w:after="159"/>
        <w:ind w:hanging="118"/>
      </w:pPr>
      <w:r>
        <w:rPr>
          <w:b/>
        </w:rPr>
        <w:t xml:space="preserve">Céphalées </w:t>
      </w:r>
    </w:p>
    <w:p w14:paraId="65FB357B" w14:textId="77777777" w:rsidR="001B6BB6" w:rsidRDefault="00000000">
      <w:pPr>
        <w:numPr>
          <w:ilvl w:val="0"/>
          <w:numId w:val="14"/>
        </w:numPr>
        <w:spacing w:after="159"/>
        <w:ind w:hanging="118"/>
      </w:pPr>
      <w:r>
        <w:rPr>
          <w:b/>
        </w:rPr>
        <w:t xml:space="preserve">Otalgie aigue </w:t>
      </w:r>
      <w:proofErr w:type="spellStart"/>
      <w:r>
        <w:rPr>
          <w:b/>
        </w:rPr>
        <w:t>sio</w:t>
      </w:r>
      <w:proofErr w:type="spellEnd"/>
      <w:r>
        <w:rPr>
          <w:b/>
        </w:rPr>
        <w:t xml:space="preserve"> obstruction de la trompe d’Eustache </w:t>
      </w:r>
    </w:p>
    <w:p w14:paraId="713FA060" w14:textId="77777777" w:rsidR="001B6BB6" w:rsidRDefault="00000000">
      <w:pPr>
        <w:pStyle w:val="Titre3"/>
        <w:tabs>
          <w:tab w:val="center" w:pos="959"/>
        </w:tabs>
        <w:ind w:left="-15" w:firstLine="0"/>
      </w:pPr>
      <w:r>
        <w:rPr>
          <w:rFonts w:ascii="Wingdings" w:eastAsia="Wingdings" w:hAnsi="Wingdings" w:cs="Wingdings"/>
          <w:b w:val="0"/>
          <w:u w:val="none"/>
        </w:rPr>
        <w:t>▪</w:t>
      </w:r>
      <w:r>
        <w:rPr>
          <w:rFonts w:ascii="Arial" w:eastAsia="Arial" w:hAnsi="Arial" w:cs="Arial"/>
          <w:b w:val="0"/>
          <w:u w:val="none"/>
        </w:rPr>
        <w:t xml:space="preserve"> </w:t>
      </w:r>
      <w:r>
        <w:rPr>
          <w:rFonts w:ascii="Arial" w:eastAsia="Arial" w:hAnsi="Arial" w:cs="Arial"/>
          <w:b w:val="0"/>
          <w:u w:val="none"/>
        </w:rPr>
        <w:tab/>
      </w:r>
      <w:r>
        <w:t>MIDAZOLAM</w:t>
      </w:r>
      <w:r>
        <w:rPr>
          <w:u w:val="none"/>
        </w:rPr>
        <w:t xml:space="preserve">  </w:t>
      </w:r>
    </w:p>
    <w:p w14:paraId="30F863E9" w14:textId="77777777" w:rsidR="001B6BB6" w:rsidRDefault="00000000">
      <w:pPr>
        <w:spacing w:after="159"/>
        <w:ind w:left="355" w:hanging="10"/>
      </w:pPr>
      <w:r>
        <w:rPr>
          <w:b/>
          <w:i/>
          <w:u w:val="single" w:color="000000"/>
        </w:rPr>
        <w:t>Contre-indications :</w:t>
      </w:r>
      <w:r>
        <w:rPr>
          <w:b/>
          <w:i/>
        </w:rPr>
        <w:t xml:space="preserve"> </w:t>
      </w:r>
    </w:p>
    <w:p w14:paraId="441D9DD0" w14:textId="77777777" w:rsidR="001B6BB6" w:rsidRDefault="00000000">
      <w:pPr>
        <w:numPr>
          <w:ilvl w:val="0"/>
          <w:numId w:val="15"/>
        </w:numPr>
        <w:spacing w:after="159"/>
        <w:ind w:hanging="118"/>
      </w:pPr>
      <w:r>
        <w:rPr>
          <w:b/>
        </w:rPr>
        <w:t xml:space="preserve">Hypersensibilité aux benzodiazépines </w:t>
      </w:r>
    </w:p>
    <w:p w14:paraId="3F3C08EF" w14:textId="77777777" w:rsidR="001B6BB6" w:rsidRDefault="00000000">
      <w:pPr>
        <w:numPr>
          <w:ilvl w:val="0"/>
          <w:numId w:val="15"/>
        </w:numPr>
        <w:spacing w:after="159"/>
        <w:ind w:hanging="118"/>
      </w:pPr>
      <w:r>
        <w:rPr>
          <w:b/>
        </w:rPr>
        <w:t xml:space="preserve">Myasthénie grave </w:t>
      </w:r>
    </w:p>
    <w:p w14:paraId="7D2F8087" w14:textId="77777777" w:rsidR="001B6BB6" w:rsidRDefault="00000000">
      <w:pPr>
        <w:numPr>
          <w:ilvl w:val="0"/>
          <w:numId w:val="15"/>
        </w:numPr>
        <w:spacing w:after="159"/>
        <w:ind w:hanging="118"/>
      </w:pPr>
      <w:r>
        <w:rPr>
          <w:b/>
        </w:rPr>
        <w:t xml:space="preserve">Insuffisante respiratoire sévère </w:t>
      </w:r>
    </w:p>
    <w:p w14:paraId="2262B4BB" w14:textId="77777777" w:rsidR="001B6BB6" w:rsidRDefault="00000000">
      <w:pPr>
        <w:numPr>
          <w:ilvl w:val="0"/>
          <w:numId w:val="15"/>
        </w:numPr>
        <w:spacing w:after="159"/>
        <w:ind w:hanging="118"/>
      </w:pPr>
      <w:r>
        <w:rPr>
          <w:b/>
        </w:rPr>
        <w:t xml:space="preserve">Syndrome d’Apnée du sommeil </w:t>
      </w:r>
    </w:p>
    <w:p w14:paraId="3FBC1CCF" w14:textId="77777777" w:rsidR="001B6BB6" w:rsidRDefault="00000000">
      <w:pPr>
        <w:numPr>
          <w:ilvl w:val="0"/>
          <w:numId w:val="15"/>
        </w:numPr>
        <w:spacing w:after="0" w:line="400" w:lineRule="auto"/>
        <w:ind w:hanging="118"/>
      </w:pPr>
      <w:r>
        <w:rPr>
          <w:b/>
        </w:rPr>
        <w:t xml:space="preserve">Insuffisance hépatique sévère </w:t>
      </w:r>
      <w:r>
        <w:rPr>
          <w:b/>
          <w:i/>
          <w:u w:val="single" w:color="000000"/>
        </w:rPr>
        <w:t>Effets secondaires :</w:t>
      </w:r>
      <w:r>
        <w:rPr>
          <w:b/>
          <w:i/>
        </w:rPr>
        <w:t xml:space="preserve"> </w:t>
      </w:r>
    </w:p>
    <w:p w14:paraId="2EAA17DA" w14:textId="77777777" w:rsidR="001B6BB6" w:rsidRDefault="00000000">
      <w:pPr>
        <w:numPr>
          <w:ilvl w:val="0"/>
          <w:numId w:val="15"/>
        </w:numPr>
        <w:spacing w:after="159"/>
        <w:ind w:hanging="118"/>
      </w:pPr>
      <w:r>
        <w:rPr>
          <w:b/>
        </w:rPr>
        <w:t xml:space="preserve">Tachycardie / Bradycardie </w:t>
      </w:r>
    </w:p>
    <w:p w14:paraId="4E61DA30" w14:textId="77777777" w:rsidR="001B6BB6" w:rsidRDefault="00000000">
      <w:pPr>
        <w:numPr>
          <w:ilvl w:val="0"/>
          <w:numId w:val="15"/>
        </w:numPr>
        <w:spacing w:after="159"/>
        <w:ind w:hanging="118"/>
      </w:pPr>
      <w:r>
        <w:rPr>
          <w:b/>
        </w:rPr>
        <w:t xml:space="preserve">Réactions psychiatriques paradoxales (agitation, hallucinations …) </w:t>
      </w:r>
    </w:p>
    <w:p w14:paraId="1AFC5508" w14:textId="77777777" w:rsidR="001B6BB6" w:rsidRDefault="00000000">
      <w:pPr>
        <w:numPr>
          <w:ilvl w:val="0"/>
          <w:numId w:val="15"/>
        </w:numPr>
        <w:spacing w:after="159"/>
        <w:ind w:hanging="118"/>
      </w:pPr>
      <w:r>
        <w:rPr>
          <w:b/>
        </w:rPr>
        <w:t xml:space="preserve">Sédation </w:t>
      </w:r>
    </w:p>
    <w:p w14:paraId="5D56D578" w14:textId="77777777" w:rsidR="001B6BB6" w:rsidRDefault="00000000">
      <w:pPr>
        <w:numPr>
          <w:ilvl w:val="0"/>
          <w:numId w:val="15"/>
        </w:numPr>
        <w:spacing w:after="159"/>
        <w:ind w:hanging="118"/>
      </w:pPr>
      <w:r>
        <w:rPr>
          <w:b/>
        </w:rPr>
        <w:t xml:space="preserve">Diplopie </w:t>
      </w:r>
    </w:p>
    <w:p w14:paraId="674833F5" w14:textId="77777777" w:rsidR="001B6BB6" w:rsidRDefault="00000000">
      <w:pPr>
        <w:numPr>
          <w:ilvl w:val="0"/>
          <w:numId w:val="15"/>
        </w:numPr>
        <w:spacing w:after="159"/>
        <w:ind w:hanging="118"/>
      </w:pPr>
      <w:r>
        <w:rPr>
          <w:b/>
        </w:rPr>
        <w:t xml:space="preserve">Désaturation </w:t>
      </w:r>
    </w:p>
    <w:p w14:paraId="57FE3643" w14:textId="77777777" w:rsidR="001B6BB6" w:rsidRDefault="00000000">
      <w:pPr>
        <w:numPr>
          <w:ilvl w:val="0"/>
          <w:numId w:val="15"/>
        </w:numPr>
        <w:spacing w:after="159"/>
        <w:ind w:hanging="118"/>
      </w:pPr>
      <w:r>
        <w:rPr>
          <w:b/>
        </w:rPr>
        <w:t xml:space="preserve">Nausées / vomissements </w:t>
      </w:r>
    </w:p>
    <w:p w14:paraId="4E7496A2" w14:textId="77777777" w:rsidR="001B6BB6" w:rsidRDefault="00000000">
      <w:pPr>
        <w:numPr>
          <w:ilvl w:val="0"/>
          <w:numId w:val="15"/>
        </w:numPr>
        <w:spacing w:after="159"/>
        <w:ind w:hanging="118"/>
      </w:pPr>
      <w:r>
        <w:rPr>
          <w:b/>
        </w:rPr>
        <w:t xml:space="preserve">Réaction allergique de type urticarienne </w:t>
      </w:r>
    </w:p>
    <w:p w14:paraId="69C3AD13" w14:textId="77777777" w:rsidR="001B6BB6" w:rsidRDefault="00000000">
      <w:pPr>
        <w:ind w:left="360"/>
      </w:pPr>
      <w:r>
        <w:rPr>
          <w:b/>
        </w:rPr>
        <w:t xml:space="preserve"> </w:t>
      </w:r>
    </w:p>
    <w:p w14:paraId="12D3A525" w14:textId="77777777" w:rsidR="001B6BB6" w:rsidRDefault="00000000">
      <w:pPr>
        <w:spacing w:after="158"/>
        <w:ind w:left="360"/>
      </w:pPr>
      <w:r>
        <w:rPr>
          <w:b/>
        </w:rPr>
        <w:t xml:space="preserve"> </w:t>
      </w:r>
    </w:p>
    <w:p w14:paraId="5C733DDA" w14:textId="77777777" w:rsidR="001B6BB6" w:rsidRDefault="00000000">
      <w:pPr>
        <w:spacing w:after="161"/>
        <w:ind w:left="360"/>
      </w:pPr>
      <w:r>
        <w:rPr>
          <w:b/>
        </w:rPr>
        <w:t xml:space="preserve"> </w:t>
      </w:r>
    </w:p>
    <w:p w14:paraId="4C18C3FD" w14:textId="77777777" w:rsidR="001B6BB6" w:rsidRDefault="00000000">
      <w:pPr>
        <w:spacing w:after="158"/>
        <w:ind w:left="360"/>
      </w:pPr>
      <w:r>
        <w:rPr>
          <w:b/>
        </w:rPr>
        <w:t xml:space="preserve"> </w:t>
      </w:r>
    </w:p>
    <w:p w14:paraId="6D239B0C" w14:textId="77777777" w:rsidR="001B6BB6" w:rsidRDefault="00000000">
      <w:pPr>
        <w:spacing w:after="0"/>
      </w:pPr>
      <w:r>
        <w:t xml:space="preserve"> </w:t>
      </w:r>
    </w:p>
    <w:sectPr w:rsidR="001B6BB6">
      <w:headerReference w:type="even" r:id="rId8"/>
      <w:headerReference w:type="default" r:id="rId9"/>
      <w:footerReference w:type="even" r:id="rId10"/>
      <w:footerReference w:type="default" r:id="rId11"/>
      <w:headerReference w:type="first" r:id="rId12"/>
      <w:footerReference w:type="first" r:id="rId13"/>
      <w:pgSz w:w="11906" w:h="16838"/>
      <w:pgMar w:top="1449" w:right="1436" w:bottom="1494" w:left="1440" w:header="287" w:footer="2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04C95" w14:textId="77777777" w:rsidR="00467522" w:rsidRDefault="00467522">
      <w:pPr>
        <w:spacing w:after="0" w:line="240" w:lineRule="auto"/>
      </w:pPr>
      <w:r>
        <w:separator/>
      </w:r>
    </w:p>
  </w:endnote>
  <w:endnote w:type="continuationSeparator" w:id="0">
    <w:p w14:paraId="382CE3BE" w14:textId="77777777" w:rsidR="00467522" w:rsidRDefault="00467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494" w14:textId="77777777" w:rsidR="001B6BB6" w:rsidRDefault="00000000">
    <w:pPr>
      <w:spacing w:after="153"/>
    </w:pPr>
    <w:r>
      <w:t xml:space="preserve"> </w:t>
    </w:r>
  </w:p>
  <w:p w14:paraId="3A1D71D2" w14:textId="77777777" w:rsidR="001B6BB6" w:rsidRDefault="00000000">
    <w:pPr>
      <w:spacing w:after="0"/>
      <w:ind w:left="-809"/>
    </w:pPr>
    <w:r>
      <w:rPr>
        <w:rFonts w:ascii="Arial" w:eastAsia="Arial" w:hAnsi="Arial" w:cs="Arial"/>
        <w:sz w:val="20"/>
      </w:rPr>
      <w:t xml:space="preserve">Validé par : HAND-PR-002 et HAND-MO-001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52CAF" w14:textId="77777777" w:rsidR="001B6BB6" w:rsidRDefault="00000000">
    <w:pPr>
      <w:spacing w:after="153"/>
    </w:pPr>
    <w:r>
      <w:t xml:space="preserve"> </w:t>
    </w:r>
  </w:p>
  <w:p w14:paraId="70DFFEED" w14:textId="77777777" w:rsidR="001B6BB6" w:rsidRDefault="00000000">
    <w:pPr>
      <w:spacing w:after="0"/>
      <w:ind w:left="-809"/>
    </w:pPr>
    <w:r>
      <w:rPr>
        <w:rFonts w:ascii="Arial" w:eastAsia="Arial" w:hAnsi="Arial" w:cs="Arial"/>
        <w:sz w:val="20"/>
      </w:rPr>
      <w:t xml:space="preserve">Validé par : HAND-PR-002 et HAND-MO-001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848D7" w14:textId="77777777" w:rsidR="001B6BB6" w:rsidRDefault="00000000">
    <w:pPr>
      <w:spacing w:after="153"/>
    </w:pPr>
    <w:r>
      <w:t xml:space="preserve"> </w:t>
    </w:r>
  </w:p>
  <w:p w14:paraId="1ADF3334" w14:textId="77777777" w:rsidR="001B6BB6" w:rsidRDefault="00000000">
    <w:pPr>
      <w:spacing w:after="0"/>
      <w:ind w:left="-809"/>
    </w:pPr>
    <w:r>
      <w:rPr>
        <w:rFonts w:ascii="Arial" w:eastAsia="Arial" w:hAnsi="Arial" w:cs="Arial"/>
        <w:sz w:val="20"/>
      </w:rPr>
      <w:t xml:space="preserve">Validé par : HAND-PR-002 et HAND-MO-001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E3603" w14:textId="77777777" w:rsidR="00467522" w:rsidRDefault="00467522">
      <w:pPr>
        <w:spacing w:after="0" w:line="240" w:lineRule="auto"/>
      </w:pPr>
      <w:r>
        <w:separator/>
      </w:r>
    </w:p>
  </w:footnote>
  <w:footnote w:type="continuationSeparator" w:id="0">
    <w:p w14:paraId="638F6984" w14:textId="77777777" w:rsidR="00467522" w:rsidRDefault="00467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86F3D" w14:textId="77777777" w:rsidR="001B6BB6" w:rsidRDefault="00000000">
    <w:pPr>
      <w:tabs>
        <w:tab w:val="right" w:pos="9995"/>
      </w:tabs>
      <w:spacing w:after="0"/>
      <w:ind w:left="-720" w:right="-965"/>
    </w:pPr>
    <w:r>
      <w:rPr>
        <w:noProof/>
      </w:rPr>
      <mc:AlternateContent>
        <mc:Choice Requires="wpg">
          <w:drawing>
            <wp:anchor distT="0" distB="0" distL="114300" distR="114300" simplePos="0" relativeHeight="251664384" behindDoc="0" locked="0" layoutInCell="1" allowOverlap="1" wp14:anchorId="253EB207" wp14:editId="714076AE">
              <wp:simplePos x="0" y="0"/>
              <wp:positionH relativeFrom="page">
                <wp:posOffset>457200</wp:posOffset>
              </wp:positionH>
              <wp:positionV relativeFrom="page">
                <wp:posOffset>182245</wp:posOffset>
              </wp:positionV>
              <wp:extent cx="862965" cy="438150"/>
              <wp:effectExtent l="0" t="0" r="0" b="0"/>
              <wp:wrapSquare wrapText="bothSides"/>
              <wp:docPr id="22559" name="Group 22559"/>
              <wp:cNvGraphicFramePr/>
              <a:graphic xmlns:a="http://schemas.openxmlformats.org/drawingml/2006/main">
                <a:graphicData uri="http://schemas.microsoft.com/office/word/2010/wordprocessingGroup">
                  <wpg:wgp>
                    <wpg:cNvGrpSpPr/>
                    <wpg:grpSpPr>
                      <a:xfrm>
                        <a:off x="0" y="0"/>
                        <a:ext cx="862965" cy="438150"/>
                        <a:chOff x="0" y="0"/>
                        <a:chExt cx="862965" cy="438150"/>
                      </a:xfrm>
                    </wpg:grpSpPr>
                    <wps:wsp>
                      <wps:cNvPr id="22561" name="Rectangle 22561"/>
                      <wps:cNvSpPr/>
                      <wps:spPr>
                        <a:xfrm>
                          <a:off x="457505" y="294767"/>
                          <a:ext cx="42144" cy="189937"/>
                        </a:xfrm>
                        <a:prstGeom prst="rect">
                          <a:avLst/>
                        </a:prstGeom>
                        <a:ln>
                          <a:noFill/>
                        </a:ln>
                      </wps:spPr>
                      <wps:txbx>
                        <w:txbxContent>
                          <w:p w14:paraId="1E1F3E07" w14:textId="77777777" w:rsidR="001B6BB6" w:rsidRDefault="00000000">
                            <w:r>
                              <w:t xml:space="preserve"> </w:t>
                            </w:r>
                          </w:p>
                        </w:txbxContent>
                      </wps:txbx>
                      <wps:bodyPr horzOverflow="overflow" vert="horz" lIns="0" tIns="0" rIns="0" bIns="0" rtlCol="0">
                        <a:noAutofit/>
                      </wps:bodyPr>
                    </wps:wsp>
                    <pic:pic xmlns:pic="http://schemas.openxmlformats.org/drawingml/2006/picture">
                      <pic:nvPicPr>
                        <pic:cNvPr id="22560" name="Picture 22560"/>
                        <pic:cNvPicPr/>
                      </pic:nvPicPr>
                      <pic:blipFill>
                        <a:blip r:embed="rId1"/>
                        <a:stretch>
                          <a:fillRect/>
                        </a:stretch>
                      </pic:blipFill>
                      <pic:spPr>
                        <a:xfrm>
                          <a:off x="0" y="0"/>
                          <a:ext cx="862965" cy="438150"/>
                        </a:xfrm>
                        <a:prstGeom prst="rect">
                          <a:avLst/>
                        </a:prstGeom>
                      </pic:spPr>
                    </pic:pic>
                  </wpg:wgp>
                </a:graphicData>
              </a:graphic>
            </wp:anchor>
          </w:drawing>
        </mc:Choice>
        <mc:Fallback xmlns:a="http://schemas.openxmlformats.org/drawingml/2006/main">
          <w:pict>
            <v:group id="Group 22559" style="width:67.95pt;height:34.5pt;position:absolute;mso-position-horizontal-relative:page;mso-position-horizontal:absolute;margin-left:36pt;mso-position-vertical-relative:page;margin-top:14.35pt;" coordsize="8629,4381">
              <v:rect id="Rectangle 22561" style="position:absolute;width:421;height:1899;left:4575;top:2947;" filled="f" stroked="f">
                <v:textbox inset="0,0,0,0">
                  <w:txbxContent>
                    <w:p>
                      <w:pPr>
                        <w:spacing w:before="0" w:after="160" w:line="259" w:lineRule="auto"/>
                      </w:pPr>
                      <w:r>
                        <w:rPr>
                          <w:rFonts w:cs="Calibri" w:hAnsi="Calibri" w:eastAsia="Calibri" w:ascii="Calibri"/>
                          <w:sz w:val="22"/>
                        </w:rPr>
                        <w:t xml:space="preserve"> </w:t>
                      </w:r>
                    </w:p>
                  </w:txbxContent>
                </v:textbox>
              </v:rect>
              <v:shape id="Picture 22560" style="position:absolute;width:8629;height:4381;left:0;top:0;" filled="f">
                <v:imagedata r:id="rId23"/>
              </v:shape>
              <w10:wrap type="square"/>
            </v:group>
          </w:pict>
        </mc:Fallback>
      </mc:AlternateContent>
    </w:r>
    <w:r>
      <w:rPr>
        <w:sz w:val="20"/>
      </w:rPr>
      <w:tab/>
      <w:t xml:space="preserve">HAND-EN-006 V1 Juillet 2024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10DD1" w14:textId="77777777" w:rsidR="001B6BB6" w:rsidRDefault="00000000">
    <w:pPr>
      <w:tabs>
        <w:tab w:val="right" w:pos="9995"/>
      </w:tabs>
      <w:spacing w:after="0"/>
      <w:ind w:left="-720" w:right="-965"/>
    </w:pPr>
    <w:r>
      <w:rPr>
        <w:noProof/>
      </w:rPr>
      <mc:AlternateContent>
        <mc:Choice Requires="wpg">
          <w:drawing>
            <wp:anchor distT="0" distB="0" distL="114300" distR="114300" simplePos="0" relativeHeight="251665408" behindDoc="0" locked="0" layoutInCell="1" allowOverlap="1" wp14:anchorId="5115DDA2" wp14:editId="4EE46365">
              <wp:simplePos x="0" y="0"/>
              <wp:positionH relativeFrom="page">
                <wp:posOffset>457200</wp:posOffset>
              </wp:positionH>
              <wp:positionV relativeFrom="page">
                <wp:posOffset>182245</wp:posOffset>
              </wp:positionV>
              <wp:extent cx="862965" cy="438150"/>
              <wp:effectExtent l="0" t="0" r="0" b="0"/>
              <wp:wrapSquare wrapText="bothSides"/>
              <wp:docPr id="22515" name="Group 22515"/>
              <wp:cNvGraphicFramePr/>
              <a:graphic xmlns:a="http://schemas.openxmlformats.org/drawingml/2006/main">
                <a:graphicData uri="http://schemas.microsoft.com/office/word/2010/wordprocessingGroup">
                  <wpg:wgp>
                    <wpg:cNvGrpSpPr/>
                    <wpg:grpSpPr>
                      <a:xfrm>
                        <a:off x="0" y="0"/>
                        <a:ext cx="862965" cy="438150"/>
                        <a:chOff x="0" y="0"/>
                        <a:chExt cx="862965" cy="438150"/>
                      </a:xfrm>
                    </wpg:grpSpPr>
                    <wps:wsp>
                      <wps:cNvPr id="22517" name="Rectangle 22517"/>
                      <wps:cNvSpPr/>
                      <wps:spPr>
                        <a:xfrm>
                          <a:off x="457505" y="294767"/>
                          <a:ext cx="42144" cy="189937"/>
                        </a:xfrm>
                        <a:prstGeom prst="rect">
                          <a:avLst/>
                        </a:prstGeom>
                        <a:ln>
                          <a:noFill/>
                        </a:ln>
                      </wps:spPr>
                      <wps:txbx>
                        <w:txbxContent>
                          <w:p w14:paraId="72FC7DEF" w14:textId="77777777" w:rsidR="001B6BB6" w:rsidRDefault="00000000">
                            <w:r>
                              <w:t xml:space="preserve"> </w:t>
                            </w:r>
                          </w:p>
                        </w:txbxContent>
                      </wps:txbx>
                      <wps:bodyPr horzOverflow="overflow" vert="horz" lIns="0" tIns="0" rIns="0" bIns="0" rtlCol="0">
                        <a:noAutofit/>
                      </wps:bodyPr>
                    </wps:wsp>
                    <pic:pic xmlns:pic="http://schemas.openxmlformats.org/drawingml/2006/picture">
                      <pic:nvPicPr>
                        <pic:cNvPr id="22516" name="Picture 22516"/>
                        <pic:cNvPicPr/>
                      </pic:nvPicPr>
                      <pic:blipFill>
                        <a:blip r:embed="rId1"/>
                        <a:stretch>
                          <a:fillRect/>
                        </a:stretch>
                      </pic:blipFill>
                      <pic:spPr>
                        <a:xfrm>
                          <a:off x="0" y="0"/>
                          <a:ext cx="862965" cy="438150"/>
                        </a:xfrm>
                        <a:prstGeom prst="rect">
                          <a:avLst/>
                        </a:prstGeom>
                      </pic:spPr>
                    </pic:pic>
                  </wpg:wgp>
                </a:graphicData>
              </a:graphic>
            </wp:anchor>
          </w:drawing>
        </mc:Choice>
        <mc:Fallback xmlns:a="http://schemas.openxmlformats.org/drawingml/2006/main">
          <w:pict>
            <v:group id="Group 22515" style="width:67.95pt;height:34.5pt;position:absolute;mso-position-horizontal-relative:page;mso-position-horizontal:absolute;margin-left:36pt;mso-position-vertical-relative:page;margin-top:14.35pt;" coordsize="8629,4381">
              <v:rect id="Rectangle 22517" style="position:absolute;width:421;height:1899;left:4575;top:2947;" filled="f" stroked="f">
                <v:textbox inset="0,0,0,0">
                  <w:txbxContent>
                    <w:p>
                      <w:pPr>
                        <w:spacing w:before="0" w:after="160" w:line="259" w:lineRule="auto"/>
                      </w:pPr>
                      <w:r>
                        <w:rPr>
                          <w:rFonts w:cs="Calibri" w:hAnsi="Calibri" w:eastAsia="Calibri" w:ascii="Calibri"/>
                          <w:sz w:val="22"/>
                        </w:rPr>
                        <w:t xml:space="preserve"> </w:t>
                      </w:r>
                    </w:p>
                  </w:txbxContent>
                </v:textbox>
              </v:rect>
              <v:shape id="Picture 22516" style="position:absolute;width:8629;height:4381;left:0;top:0;" filled="f">
                <v:imagedata r:id="rId23"/>
              </v:shape>
              <w10:wrap type="square"/>
            </v:group>
          </w:pict>
        </mc:Fallback>
      </mc:AlternateContent>
    </w:r>
    <w:r>
      <w:rPr>
        <w:sz w:val="20"/>
      </w:rPr>
      <w:tab/>
      <w:t xml:space="preserve">HAND-EN-006 V1 Juillet 2024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4E94E" w14:textId="77777777" w:rsidR="001B6BB6" w:rsidRDefault="00000000">
    <w:pPr>
      <w:tabs>
        <w:tab w:val="right" w:pos="9995"/>
      </w:tabs>
      <w:spacing w:after="0"/>
      <w:ind w:left="-720" w:right="-965"/>
    </w:pPr>
    <w:r>
      <w:rPr>
        <w:noProof/>
      </w:rPr>
      <mc:AlternateContent>
        <mc:Choice Requires="wpg">
          <w:drawing>
            <wp:anchor distT="0" distB="0" distL="114300" distR="114300" simplePos="0" relativeHeight="251666432" behindDoc="0" locked="0" layoutInCell="1" allowOverlap="1" wp14:anchorId="2AC607D6" wp14:editId="0A277709">
              <wp:simplePos x="0" y="0"/>
              <wp:positionH relativeFrom="page">
                <wp:posOffset>457200</wp:posOffset>
              </wp:positionH>
              <wp:positionV relativeFrom="page">
                <wp:posOffset>182245</wp:posOffset>
              </wp:positionV>
              <wp:extent cx="862965" cy="438150"/>
              <wp:effectExtent l="0" t="0" r="0" b="0"/>
              <wp:wrapSquare wrapText="bothSides"/>
              <wp:docPr id="22471" name="Group 22471"/>
              <wp:cNvGraphicFramePr/>
              <a:graphic xmlns:a="http://schemas.openxmlformats.org/drawingml/2006/main">
                <a:graphicData uri="http://schemas.microsoft.com/office/word/2010/wordprocessingGroup">
                  <wpg:wgp>
                    <wpg:cNvGrpSpPr/>
                    <wpg:grpSpPr>
                      <a:xfrm>
                        <a:off x="0" y="0"/>
                        <a:ext cx="862965" cy="438150"/>
                        <a:chOff x="0" y="0"/>
                        <a:chExt cx="862965" cy="438150"/>
                      </a:xfrm>
                    </wpg:grpSpPr>
                    <wps:wsp>
                      <wps:cNvPr id="22473" name="Rectangle 22473"/>
                      <wps:cNvSpPr/>
                      <wps:spPr>
                        <a:xfrm>
                          <a:off x="457505" y="294767"/>
                          <a:ext cx="42144" cy="189937"/>
                        </a:xfrm>
                        <a:prstGeom prst="rect">
                          <a:avLst/>
                        </a:prstGeom>
                        <a:ln>
                          <a:noFill/>
                        </a:ln>
                      </wps:spPr>
                      <wps:txbx>
                        <w:txbxContent>
                          <w:p w14:paraId="2C9C4435" w14:textId="77777777" w:rsidR="001B6BB6" w:rsidRDefault="00000000">
                            <w:r>
                              <w:t xml:space="preserve"> </w:t>
                            </w:r>
                          </w:p>
                        </w:txbxContent>
                      </wps:txbx>
                      <wps:bodyPr horzOverflow="overflow" vert="horz" lIns="0" tIns="0" rIns="0" bIns="0" rtlCol="0">
                        <a:noAutofit/>
                      </wps:bodyPr>
                    </wps:wsp>
                    <pic:pic xmlns:pic="http://schemas.openxmlformats.org/drawingml/2006/picture">
                      <pic:nvPicPr>
                        <pic:cNvPr id="22472" name="Picture 22472"/>
                        <pic:cNvPicPr/>
                      </pic:nvPicPr>
                      <pic:blipFill>
                        <a:blip r:embed="rId1"/>
                        <a:stretch>
                          <a:fillRect/>
                        </a:stretch>
                      </pic:blipFill>
                      <pic:spPr>
                        <a:xfrm>
                          <a:off x="0" y="0"/>
                          <a:ext cx="862965" cy="438150"/>
                        </a:xfrm>
                        <a:prstGeom prst="rect">
                          <a:avLst/>
                        </a:prstGeom>
                      </pic:spPr>
                    </pic:pic>
                  </wpg:wgp>
                </a:graphicData>
              </a:graphic>
            </wp:anchor>
          </w:drawing>
        </mc:Choice>
        <mc:Fallback xmlns:a="http://schemas.openxmlformats.org/drawingml/2006/main">
          <w:pict>
            <v:group id="Group 22471" style="width:67.95pt;height:34.5pt;position:absolute;mso-position-horizontal-relative:page;mso-position-horizontal:absolute;margin-left:36pt;mso-position-vertical-relative:page;margin-top:14.35pt;" coordsize="8629,4381">
              <v:rect id="Rectangle 22473" style="position:absolute;width:421;height:1899;left:4575;top:2947;" filled="f" stroked="f">
                <v:textbox inset="0,0,0,0">
                  <w:txbxContent>
                    <w:p>
                      <w:pPr>
                        <w:spacing w:before="0" w:after="160" w:line="259" w:lineRule="auto"/>
                      </w:pPr>
                      <w:r>
                        <w:rPr>
                          <w:rFonts w:cs="Calibri" w:hAnsi="Calibri" w:eastAsia="Calibri" w:ascii="Calibri"/>
                          <w:sz w:val="22"/>
                        </w:rPr>
                        <w:t xml:space="preserve"> </w:t>
                      </w:r>
                    </w:p>
                  </w:txbxContent>
                </v:textbox>
              </v:rect>
              <v:shape id="Picture 22472" style="position:absolute;width:8629;height:4381;left:0;top:0;" filled="f">
                <v:imagedata r:id="rId23"/>
              </v:shape>
              <w10:wrap type="square"/>
            </v:group>
          </w:pict>
        </mc:Fallback>
      </mc:AlternateContent>
    </w:r>
    <w:r>
      <w:rPr>
        <w:sz w:val="20"/>
      </w:rPr>
      <w:tab/>
      <w:t xml:space="preserve">HAND-EN-006 V1 Juillet 2024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80E6C"/>
    <w:multiLevelType w:val="hybridMultilevel"/>
    <w:tmpl w:val="D7F8E236"/>
    <w:lvl w:ilvl="0" w:tplc="B9601EAE">
      <w:start w:val="1"/>
      <w:numFmt w:val="bullet"/>
      <w:lvlText w:val=""/>
      <w:lvlJc w:val="left"/>
      <w:pPr>
        <w:ind w:left="26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1" w:tplc="516CFD96">
      <w:start w:val="1"/>
      <w:numFmt w:val="bullet"/>
      <w:lvlText w:val="o"/>
      <w:lvlJc w:val="left"/>
      <w:pPr>
        <w:ind w:left="1434"/>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2" w:tplc="252A0E36">
      <w:start w:val="1"/>
      <w:numFmt w:val="bullet"/>
      <w:lvlText w:val="▪"/>
      <w:lvlJc w:val="left"/>
      <w:pPr>
        <w:ind w:left="2154"/>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3" w:tplc="99D860F4">
      <w:start w:val="1"/>
      <w:numFmt w:val="bullet"/>
      <w:lvlText w:val="•"/>
      <w:lvlJc w:val="left"/>
      <w:pPr>
        <w:ind w:left="2874"/>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4" w:tplc="E3D6047A">
      <w:start w:val="1"/>
      <w:numFmt w:val="bullet"/>
      <w:lvlText w:val="o"/>
      <w:lvlJc w:val="left"/>
      <w:pPr>
        <w:ind w:left="3594"/>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5" w:tplc="235E3A2A">
      <w:start w:val="1"/>
      <w:numFmt w:val="bullet"/>
      <w:lvlText w:val="▪"/>
      <w:lvlJc w:val="left"/>
      <w:pPr>
        <w:ind w:left="4314"/>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6" w:tplc="BB02B7FE">
      <w:start w:val="1"/>
      <w:numFmt w:val="bullet"/>
      <w:lvlText w:val="•"/>
      <w:lvlJc w:val="left"/>
      <w:pPr>
        <w:ind w:left="5034"/>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7" w:tplc="3328FFDA">
      <w:start w:val="1"/>
      <w:numFmt w:val="bullet"/>
      <w:lvlText w:val="o"/>
      <w:lvlJc w:val="left"/>
      <w:pPr>
        <w:ind w:left="5754"/>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8" w:tplc="E8967C34">
      <w:start w:val="1"/>
      <w:numFmt w:val="bullet"/>
      <w:lvlText w:val="▪"/>
      <w:lvlJc w:val="left"/>
      <w:pPr>
        <w:ind w:left="6474"/>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abstractNum>
  <w:abstractNum w:abstractNumId="1" w15:restartNumberingAfterBreak="0">
    <w:nsid w:val="0CA423E2"/>
    <w:multiLevelType w:val="hybridMultilevel"/>
    <w:tmpl w:val="95707E5C"/>
    <w:lvl w:ilvl="0" w:tplc="37ECDADC">
      <w:start w:val="1"/>
      <w:numFmt w:val="bullet"/>
      <w:lvlText w:val=""/>
      <w:lvlJc w:val="left"/>
      <w:pPr>
        <w:ind w:left="1887"/>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1" w:tplc="CBAADAB6">
      <w:start w:val="1"/>
      <w:numFmt w:val="bullet"/>
      <w:lvlText w:val="o"/>
      <w:lvlJc w:val="left"/>
      <w:pPr>
        <w:ind w:left="2645"/>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2" w:tplc="1B6C4AA6">
      <w:start w:val="1"/>
      <w:numFmt w:val="bullet"/>
      <w:lvlText w:val="▪"/>
      <w:lvlJc w:val="left"/>
      <w:pPr>
        <w:ind w:left="3365"/>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3" w:tplc="5A224B00">
      <w:start w:val="1"/>
      <w:numFmt w:val="bullet"/>
      <w:lvlText w:val="•"/>
      <w:lvlJc w:val="left"/>
      <w:pPr>
        <w:ind w:left="4085"/>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4" w:tplc="C85E4438">
      <w:start w:val="1"/>
      <w:numFmt w:val="bullet"/>
      <w:lvlText w:val="o"/>
      <w:lvlJc w:val="left"/>
      <w:pPr>
        <w:ind w:left="4805"/>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5" w:tplc="772A0214">
      <w:start w:val="1"/>
      <w:numFmt w:val="bullet"/>
      <w:lvlText w:val="▪"/>
      <w:lvlJc w:val="left"/>
      <w:pPr>
        <w:ind w:left="5525"/>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6" w:tplc="04FEE7F4">
      <w:start w:val="1"/>
      <w:numFmt w:val="bullet"/>
      <w:lvlText w:val="•"/>
      <w:lvlJc w:val="left"/>
      <w:pPr>
        <w:ind w:left="6245"/>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7" w:tplc="F75AEB3C">
      <w:start w:val="1"/>
      <w:numFmt w:val="bullet"/>
      <w:lvlText w:val="o"/>
      <w:lvlJc w:val="left"/>
      <w:pPr>
        <w:ind w:left="6965"/>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8" w:tplc="E13445D6">
      <w:start w:val="1"/>
      <w:numFmt w:val="bullet"/>
      <w:lvlText w:val="▪"/>
      <w:lvlJc w:val="left"/>
      <w:pPr>
        <w:ind w:left="7685"/>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abstractNum>
  <w:abstractNum w:abstractNumId="2" w15:restartNumberingAfterBreak="0">
    <w:nsid w:val="1A11393A"/>
    <w:multiLevelType w:val="hybridMultilevel"/>
    <w:tmpl w:val="4FAE513E"/>
    <w:lvl w:ilvl="0" w:tplc="0B4A9AA6">
      <w:start w:val="1"/>
      <w:numFmt w:val="bullet"/>
      <w:lvlText w:val=""/>
      <w:lvlJc w:val="left"/>
      <w:pPr>
        <w:ind w:left="1088"/>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1" w:tplc="411AD86C">
      <w:start w:val="1"/>
      <w:numFmt w:val="bullet"/>
      <w:lvlText w:val="o"/>
      <w:lvlJc w:val="left"/>
      <w:pPr>
        <w:ind w:left="1788"/>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2" w:tplc="57E8C8C0">
      <w:start w:val="1"/>
      <w:numFmt w:val="bullet"/>
      <w:lvlText w:val="▪"/>
      <w:lvlJc w:val="left"/>
      <w:pPr>
        <w:ind w:left="2508"/>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3" w:tplc="08E46934">
      <w:start w:val="1"/>
      <w:numFmt w:val="bullet"/>
      <w:lvlText w:val="•"/>
      <w:lvlJc w:val="left"/>
      <w:pPr>
        <w:ind w:left="3228"/>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4" w:tplc="5CCC5DE4">
      <w:start w:val="1"/>
      <w:numFmt w:val="bullet"/>
      <w:lvlText w:val="o"/>
      <w:lvlJc w:val="left"/>
      <w:pPr>
        <w:ind w:left="3948"/>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5" w:tplc="5F18B052">
      <w:start w:val="1"/>
      <w:numFmt w:val="bullet"/>
      <w:lvlText w:val="▪"/>
      <w:lvlJc w:val="left"/>
      <w:pPr>
        <w:ind w:left="4668"/>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6" w:tplc="A6A6D6D6">
      <w:start w:val="1"/>
      <w:numFmt w:val="bullet"/>
      <w:lvlText w:val="•"/>
      <w:lvlJc w:val="left"/>
      <w:pPr>
        <w:ind w:left="5388"/>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7" w:tplc="4BD81772">
      <w:start w:val="1"/>
      <w:numFmt w:val="bullet"/>
      <w:lvlText w:val="o"/>
      <w:lvlJc w:val="left"/>
      <w:pPr>
        <w:ind w:left="6108"/>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8" w:tplc="BD064490">
      <w:start w:val="1"/>
      <w:numFmt w:val="bullet"/>
      <w:lvlText w:val="▪"/>
      <w:lvlJc w:val="left"/>
      <w:pPr>
        <w:ind w:left="6828"/>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abstractNum>
  <w:abstractNum w:abstractNumId="3" w15:restartNumberingAfterBreak="0">
    <w:nsid w:val="1CC8674D"/>
    <w:multiLevelType w:val="hybridMultilevel"/>
    <w:tmpl w:val="86E20440"/>
    <w:lvl w:ilvl="0" w:tplc="79064E5A">
      <w:start w:val="1"/>
      <w:numFmt w:val="bullet"/>
      <w:lvlText w:val="➢"/>
      <w:lvlJc w:val="left"/>
      <w:pPr>
        <w:ind w:left="97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1" w:tplc="2920164C">
      <w:start w:val="1"/>
      <w:numFmt w:val="bullet"/>
      <w:lvlText w:val="o"/>
      <w:lvlJc w:val="left"/>
      <w:pPr>
        <w:ind w:left="1346"/>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2" w:tplc="B4687D1E">
      <w:start w:val="1"/>
      <w:numFmt w:val="bullet"/>
      <w:lvlText w:val="▪"/>
      <w:lvlJc w:val="left"/>
      <w:pPr>
        <w:ind w:left="2066"/>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3" w:tplc="6E2290D2">
      <w:start w:val="1"/>
      <w:numFmt w:val="bullet"/>
      <w:lvlText w:val="•"/>
      <w:lvlJc w:val="left"/>
      <w:pPr>
        <w:ind w:left="2786"/>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4" w:tplc="4070707C">
      <w:start w:val="1"/>
      <w:numFmt w:val="bullet"/>
      <w:lvlText w:val="o"/>
      <w:lvlJc w:val="left"/>
      <w:pPr>
        <w:ind w:left="3506"/>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5" w:tplc="D5B4FB78">
      <w:start w:val="1"/>
      <w:numFmt w:val="bullet"/>
      <w:lvlText w:val="▪"/>
      <w:lvlJc w:val="left"/>
      <w:pPr>
        <w:ind w:left="4226"/>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6" w:tplc="BC56BB7E">
      <w:start w:val="1"/>
      <w:numFmt w:val="bullet"/>
      <w:lvlText w:val="•"/>
      <w:lvlJc w:val="left"/>
      <w:pPr>
        <w:ind w:left="4946"/>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7" w:tplc="66C63578">
      <w:start w:val="1"/>
      <w:numFmt w:val="bullet"/>
      <w:lvlText w:val="o"/>
      <w:lvlJc w:val="left"/>
      <w:pPr>
        <w:ind w:left="5666"/>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8" w:tplc="C5CC9A30">
      <w:start w:val="1"/>
      <w:numFmt w:val="bullet"/>
      <w:lvlText w:val="▪"/>
      <w:lvlJc w:val="left"/>
      <w:pPr>
        <w:ind w:left="6386"/>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abstractNum>
  <w:abstractNum w:abstractNumId="4" w15:restartNumberingAfterBreak="0">
    <w:nsid w:val="211027A8"/>
    <w:multiLevelType w:val="hybridMultilevel"/>
    <w:tmpl w:val="1F8CB8DA"/>
    <w:lvl w:ilvl="0" w:tplc="19621772">
      <w:start w:val="1"/>
      <w:numFmt w:val="decimal"/>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F6E9100">
      <w:start w:val="1"/>
      <w:numFmt w:val="bullet"/>
      <w:lvlText w:val="▪"/>
      <w:lvlJc w:val="left"/>
      <w:pPr>
        <w:ind w:left="7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CB22BBA">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1F49E20">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97EB136">
      <w:start w:val="1"/>
      <w:numFmt w:val="bullet"/>
      <w:lvlText w:val="o"/>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B220D64">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DEAED36">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F92BE82">
      <w:start w:val="1"/>
      <w:numFmt w:val="bullet"/>
      <w:lvlText w:val="o"/>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092A9B0">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4D06700"/>
    <w:multiLevelType w:val="hybridMultilevel"/>
    <w:tmpl w:val="5D586AD6"/>
    <w:lvl w:ilvl="0" w:tplc="0E5C1BD8">
      <w:start w:val="1"/>
      <w:numFmt w:val="bullet"/>
      <w:lvlText w:val=""/>
      <w:lvlJc w:val="left"/>
      <w:pPr>
        <w:ind w:left="304"/>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1" w:tplc="894A633C">
      <w:start w:val="1"/>
      <w:numFmt w:val="bullet"/>
      <w:lvlText w:val="➢"/>
      <w:lvlJc w:val="left"/>
      <w:pPr>
        <w:ind w:left="765"/>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2" w:tplc="4BDCB1AE">
      <w:start w:val="1"/>
      <w:numFmt w:val="bullet"/>
      <w:lvlText w:val="▪"/>
      <w:lvlJc w:val="left"/>
      <w:pPr>
        <w:ind w:left="144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3" w:tplc="109A6228">
      <w:start w:val="1"/>
      <w:numFmt w:val="bullet"/>
      <w:lvlText w:val="•"/>
      <w:lvlJc w:val="left"/>
      <w:pPr>
        <w:ind w:left="216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4" w:tplc="2D741150">
      <w:start w:val="1"/>
      <w:numFmt w:val="bullet"/>
      <w:lvlText w:val="o"/>
      <w:lvlJc w:val="left"/>
      <w:pPr>
        <w:ind w:left="288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5" w:tplc="8576911A">
      <w:start w:val="1"/>
      <w:numFmt w:val="bullet"/>
      <w:lvlText w:val="▪"/>
      <w:lvlJc w:val="left"/>
      <w:pPr>
        <w:ind w:left="360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6" w:tplc="34CCEAE8">
      <w:start w:val="1"/>
      <w:numFmt w:val="bullet"/>
      <w:lvlText w:val="•"/>
      <w:lvlJc w:val="left"/>
      <w:pPr>
        <w:ind w:left="432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7" w:tplc="60FAF570">
      <w:start w:val="1"/>
      <w:numFmt w:val="bullet"/>
      <w:lvlText w:val="o"/>
      <w:lvlJc w:val="left"/>
      <w:pPr>
        <w:ind w:left="504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8" w:tplc="7A3E31F8">
      <w:start w:val="1"/>
      <w:numFmt w:val="bullet"/>
      <w:lvlText w:val="▪"/>
      <w:lvlJc w:val="left"/>
      <w:pPr>
        <w:ind w:left="576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abstractNum>
  <w:abstractNum w:abstractNumId="6" w15:restartNumberingAfterBreak="0">
    <w:nsid w:val="275050CD"/>
    <w:multiLevelType w:val="hybridMultilevel"/>
    <w:tmpl w:val="0CF441A2"/>
    <w:lvl w:ilvl="0" w:tplc="46F81C0A">
      <w:start w:val="1"/>
      <w:numFmt w:val="bullet"/>
      <w:lvlText w:val="➢"/>
      <w:lvlJc w:val="left"/>
      <w:pPr>
        <w:ind w:left="765"/>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1" w:tplc="F8E02E1A">
      <w:start w:val="1"/>
      <w:numFmt w:val="bullet"/>
      <w:lvlText w:val=""/>
      <w:lvlJc w:val="left"/>
      <w:pPr>
        <w:ind w:left="179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2" w:tplc="10887CF0">
      <w:start w:val="1"/>
      <w:numFmt w:val="bullet"/>
      <w:lvlText w:val="▪"/>
      <w:lvlJc w:val="left"/>
      <w:pPr>
        <w:ind w:left="249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3" w:tplc="9202CD06">
      <w:start w:val="1"/>
      <w:numFmt w:val="bullet"/>
      <w:lvlText w:val="•"/>
      <w:lvlJc w:val="left"/>
      <w:pPr>
        <w:ind w:left="321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4" w:tplc="09929EC0">
      <w:start w:val="1"/>
      <w:numFmt w:val="bullet"/>
      <w:lvlText w:val="o"/>
      <w:lvlJc w:val="left"/>
      <w:pPr>
        <w:ind w:left="393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5" w:tplc="BBECC600">
      <w:start w:val="1"/>
      <w:numFmt w:val="bullet"/>
      <w:lvlText w:val="▪"/>
      <w:lvlJc w:val="left"/>
      <w:pPr>
        <w:ind w:left="465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6" w:tplc="8BD01BF8">
      <w:start w:val="1"/>
      <w:numFmt w:val="bullet"/>
      <w:lvlText w:val="•"/>
      <w:lvlJc w:val="left"/>
      <w:pPr>
        <w:ind w:left="537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7" w:tplc="64325624">
      <w:start w:val="1"/>
      <w:numFmt w:val="bullet"/>
      <w:lvlText w:val="o"/>
      <w:lvlJc w:val="left"/>
      <w:pPr>
        <w:ind w:left="609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8" w:tplc="FC5E4966">
      <w:start w:val="1"/>
      <w:numFmt w:val="bullet"/>
      <w:lvlText w:val="▪"/>
      <w:lvlJc w:val="left"/>
      <w:pPr>
        <w:ind w:left="681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abstractNum>
  <w:abstractNum w:abstractNumId="7" w15:restartNumberingAfterBreak="0">
    <w:nsid w:val="2847543B"/>
    <w:multiLevelType w:val="hybridMultilevel"/>
    <w:tmpl w:val="5296BB1A"/>
    <w:lvl w:ilvl="0" w:tplc="6BA2B30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BE68E2">
      <w:start w:val="1"/>
      <w:numFmt w:val="bullet"/>
      <w:lvlText w:val="o"/>
      <w:lvlJc w:val="left"/>
      <w:pPr>
        <w:ind w:left="7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E5A8AA8">
      <w:start w:val="1"/>
      <w:numFmt w:val="bullet"/>
      <w:lvlText w:val="▪"/>
      <w:lvlJc w:val="left"/>
      <w:pPr>
        <w:ind w:left="11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F14738E">
      <w:start w:val="1"/>
      <w:numFmt w:val="bullet"/>
      <w:lvlRestart w:val="0"/>
      <w:lvlText w:val="•"/>
      <w:lvlJc w:val="left"/>
      <w:pPr>
        <w:ind w:left="1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CCFFB6">
      <w:start w:val="1"/>
      <w:numFmt w:val="bullet"/>
      <w:lvlText w:val="o"/>
      <w:lvlJc w:val="left"/>
      <w:pPr>
        <w:ind w:left="21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D5C2644">
      <w:start w:val="1"/>
      <w:numFmt w:val="bullet"/>
      <w:lvlText w:val="▪"/>
      <w:lvlJc w:val="left"/>
      <w:pPr>
        <w:ind w:left="29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01461BE">
      <w:start w:val="1"/>
      <w:numFmt w:val="bullet"/>
      <w:lvlText w:val="•"/>
      <w:lvlJc w:val="left"/>
      <w:pPr>
        <w:ind w:left="36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283AC8">
      <w:start w:val="1"/>
      <w:numFmt w:val="bullet"/>
      <w:lvlText w:val="o"/>
      <w:lvlJc w:val="left"/>
      <w:pPr>
        <w:ind w:left="43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B88D600">
      <w:start w:val="1"/>
      <w:numFmt w:val="bullet"/>
      <w:lvlText w:val="▪"/>
      <w:lvlJc w:val="left"/>
      <w:pPr>
        <w:ind w:left="50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C8A377C"/>
    <w:multiLevelType w:val="hybridMultilevel"/>
    <w:tmpl w:val="83F4BD24"/>
    <w:lvl w:ilvl="0" w:tplc="95AA1F92">
      <w:start w:val="1"/>
      <w:numFmt w:val="bullet"/>
      <w:lvlText w:val="-"/>
      <w:lvlJc w:val="left"/>
      <w:pPr>
        <w:ind w:left="46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6A549918">
      <w:start w:val="1"/>
      <w:numFmt w:val="bullet"/>
      <w:lvlText w:val="o"/>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ACA8882">
      <w:start w:val="1"/>
      <w:numFmt w:val="bullet"/>
      <w:lvlText w:val="▪"/>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4CA0D6A">
      <w:start w:val="1"/>
      <w:numFmt w:val="bullet"/>
      <w:lvlText w:val="•"/>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E2C625E">
      <w:start w:val="1"/>
      <w:numFmt w:val="bullet"/>
      <w:lvlText w:val="o"/>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806960C">
      <w:start w:val="1"/>
      <w:numFmt w:val="bullet"/>
      <w:lvlText w:val="▪"/>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8BA24DE">
      <w:start w:val="1"/>
      <w:numFmt w:val="bullet"/>
      <w:lvlText w:val="•"/>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BB9A9D4A">
      <w:start w:val="1"/>
      <w:numFmt w:val="bullet"/>
      <w:lvlText w:val="o"/>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9C76D682">
      <w:start w:val="1"/>
      <w:numFmt w:val="bullet"/>
      <w:lvlText w:val="▪"/>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9E772AF"/>
    <w:multiLevelType w:val="hybridMultilevel"/>
    <w:tmpl w:val="F8D2284C"/>
    <w:lvl w:ilvl="0" w:tplc="58C029AE">
      <w:start w:val="1"/>
      <w:numFmt w:val="bullet"/>
      <w:lvlText w:val=""/>
      <w:lvlJc w:val="left"/>
      <w:pPr>
        <w:ind w:left="873"/>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1" w:tplc="68FE4C84">
      <w:start w:val="1"/>
      <w:numFmt w:val="bullet"/>
      <w:lvlText w:val="o"/>
      <w:lvlJc w:val="left"/>
      <w:pPr>
        <w:ind w:left="364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2" w:tplc="E7D8FFC4">
      <w:start w:val="1"/>
      <w:numFmt w:val="bullet"/>
      <w:lvlText w:val="▪"/>
      <w:lvlJc w:val="left"/>
      <w:pPr>
        <w:ind w:left="436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3" w:tplc="AAE23A38">
      <w:start w:val="1"/>
      <w:numFmt w:val="bullet"/>
      <w:lvlText w:val="•"/>
      <w:lvlJc w:val="left"/>
      <w:pPr>
        <w:ind w:left="508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4" w:tplc="F2B48050">
      <w:start w:val="1"/>
      <w:numFmt w:val="bullet"/>
      <w:lvlText w:val="o"/>
      <w:lvlJc w:val="left"/>
      <w:pPr>
        <w:ind w:left="580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5" w:tplc="DD465044">
      <w:start w:val="1"/>
      <w:numFmt w:val="bullet"/>
      <w:lvlText w:val="▪"/>
      <w:lvlJc w:val="left"/>
      <w:pPr>
        <w:ind w:left="652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6" w:tplc="92C2AA1E">
      <w:start w:val="1"/>
      <w:numFmt w:val="bullet"/>
      <w:lvlText w:val="•"/>
      <w:lvlJc w:val="left"/>
      <w:pPr>
        <w:ind w:left="724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7" w:tplc="EC8C51EA">
      <w:start w:val="1"/>
      <w:numFmt w:val="bullet"/>
      <w:lvlText w:val="o"/>
      <w:lvlJc w:val="left"/>
      <w:pPr>
        <w:ind w:left="796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8" w:tplc="1540BA62">
      <w:start w:val="1"/>
      <w:numFmt w:val="bullet"/>
      <w:lvlText w:val="▪"/>
      <w:lvlJc w:val="left"/>
      <w:pPr>
        <w:ind w:left="868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abstractNum>
  <w:abstractNum w:abstractNumId="10" w15:restartNumberingAfterBreak="0">
    <w:nsid w:val="5697314F"/>
    <w:multiLevelType w:val="hybridMultilevel"/>
    <w:tmpl w:val="A2DC5344"/>
    <w:lvl w:ilvl="0" w:tplc="CDE8B55A">
      <w:start w:val="1"/>
      <w:numFmt w:val="bullet"/>
      <w:lvlText w:val=""/>
      <w:lvlJc w:val="left"/>
      <w:pPr>
        <w:ind w:left="304"/>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1" w:tplc="AA6EED38">
      <w:start w:val="1"/>
      <w:numFmt w:val="bullet"/>
      <w:lvlText w:val="➢"/>
      <w:lvlJc w:val="left"/>
      <w:pPr>
        <w:ind w:left="765"/>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2" w:tplc="09EA9A18">
      <w:start w:val="1"/>
      <w:numFmt w:val="bullet"/>
      <w:lvlText w:val="▪"/>
      <w:lvlJc w:val="left"/>
      <w:pPr>
        <w:ind w:left="148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3" w:tplc="0292FF54">
      <w:start w:val="1"/>
      <w:numFmt w:val="bullet"/>
      <w:lvlText w:val="•"/>
      <w:lvlJc w:val="left"/>
      <w:pPr>
        <w:ind w:left="220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4" w:tplc="CD606BAE">
      <w:start w:val="1"/>
      <w:numFmt w:val="bullet"/>
      <w:lvlText w:val="o"/>
      <w:lvlJc w:val="left"/>
      <w:pPr>
        <w:ind w:left="292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5" w:tplc="8F82D732">
      <w:start w:val="1"/>
      <w:numFmt w:val="bullet"/>
      <w:lvlText w:val="▪"/>
      <w:lvlJc w:val="left"/>
      <w:pPr>
        <w:ind w:left="364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6" w:tplc="4F7CB972">
      <w:start w:val="1"/>
      <w:numFmt w:val="bullet"/>
      <w:lvlText w:val="•"/>
      <w:lvlJc w:val="left"/>
      <w:pPr>
        <w:ind w:left="436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7" w:tplc="C3343C5A">
      <w:start w:val="1"/>
      <w:numFmt w:val="bullet"/>
      <w:lvlText w:val="o"/>
      <w:lvlJc w:val="left"/>
      <w:pPr>
        <w:ind w:left="508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8" w:tplc="9C44646E">
      <w:start w:val="1"/>
      <w:numFmt w:val="bullet"/>
      <w:lvlText w:val="▪"/>
      <w:lvlJc w:val="left"/>
      <w:pPr>
        <w:ind w:left="580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abstractNum>
  <w:abstractNum w:abstractNumId="11" w15:restartNumberingAfterBreak="0">
    <w:nsid w:val="5D2B067D"/>
    <w:multiLevelType w:val="hybridMultilevel"/>
    <w:tmpl w:val="2902B4BC"/>
    <w:lvl w:ilvl="0" w:tplc="23FE1EB6">
      <w:start w:val="1"/>
      <w:numFmt w:val="bullet"/>
      <w:lvlText w:val=""/>
      <w:lvlJc w:val="left"/>
      <w:pPr>
        <w:ind w:left="304"/>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1" w:tplc="70B8B95A">
      <w:start w:val="1"/>
      <w:numFmt w:val="bullet"/>
      <w:lvlText w:val="➢"/>
      <w:lvlJc w:val="left"/>
      <w:pPr>
        <w:ind w:left="7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228852">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93A9C94">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D92CBEA">
      <w:start w:val="1"/>
      <w:numFmt w:val="bullet"/>
      <w:lvlText w:val="o"/>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4A0A572">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E42FB5A">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AF67254">
      <w:start w:val="1"/>
      <w:numFmt w:val="bullet"/>
      <w:lvlText w:val="o"/>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AF8C530">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D3502F7"/>
    <w:multiLevelType w:val="hybridMultilevel"/>
    <w:tmpl w:val="CD408614"/>
    <w:lvl w:ilvl="0" w:tplc="26A2975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CE9BF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BD87AB0">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BD8B03A">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5942118">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06E39C2">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3F660A8">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A067CE">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5F408B4">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FD8225F"/>
    <w:multiLevelType w:val="hybridMultilevel"/>
    <w:tmpl w:val="B328B1FC"/>
    <w:lvl w:ilvl="0" w:tplc="C1BA884A">
      <w:start w:val="1"/>
      <w:numFmt w:val="bullet"/>
      <w:lvlText w:val=""/>
      <w:lvlJc w:val="left"/>
      <w:pPr>
        <w:ind w:left="259"/>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1" w:tplc="F6B29362">
      <w:start w:val="1"/>
      <w:numFmt w:val="bullet"/>
      <w:lvlText w:val="o"/>
      <w:lvlJc w:val="left"/>
      <w:pPr>
        <w:ind w:left="108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2" w:tplc="7F28A0B0">
      <w:start w:val="1"/>
      <w:numFmt w:val="bullet"/>
      <w:lvlText w:val="▪"/>
      <w:lvlJc w:val="left"/>
      <w:pPr>
        <w:ind w:left="180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3" w:tplc="2878FD50">
      <w:start w:val="1"/>
      <w:numFmt w:val="bullet"/>
      <w:lvlText w:val="•"/>
      <w:lvlJc w:val="left"/>
      <w:pPr>
        <w:ind w:left="252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4" w:tplc="775229F4">
      <w:start w:val="1"/>
      <w:numFmt w:val="bullet"/>
      <w:lvlText w:val="o"/>
      <w:lvlJc w:val="left"/>
      <w:pPr>
        <w:ind w:left="324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5" w:tplc="E18A2010">
      <w:start w:val="1"/>
      <w:numFmt w:val="bullet"/>
      <w:lvlText w:val="▪"/>
      <w:lvlJc w:val="left"/>
      <w:pPr>
        <w:ind w:left="396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6" w:tplc="49CCAC8C">
      <w:start w:val="1"/>
      <w:numFmt w:val="bullet"/>
      <w:lvlText w:val="•"/>
      <w:lvlJc w:val="left"/>
      <w:pPr>
        <w:ind w:left="468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7" w:tplc="2996B17A">
      <w:start w:val="1"/>
      <w:numFmt w:val="bullet"/>
      <w:lvlText w:val="o"/>
      <w:lvlJc w:val="left"/>
      <w:pPr>
        <w:ind w:left="540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8" w:tplc="111A760A">
      <w:start w:val="1"/>
      <w:numFmt w:val="bullet"/>
      <w:lvlText w:val="▪"/>
      <w:lvlJc w:val="left"/>
      <w:pPr>
        <w:ind w:left="612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abstractNum>
  <w:abstractNum w:abstractNumId="14" w15:restartNumberingAfterBreak="0">
    <w:nsid w:val="60321949"/>
    <w:multiLevelType w:val="hybridMultilevel"/>
    <w:tmpl w:val="72848B00"/>
    <w:lvl w:ilvl="0" w:tplc="049AE9F4">
      <w:start w:val="1"/>
      <w:numFmt w:val="bullet"/>
      <w:lvlText w:val=""/>
      <w:lvlJc w:val="left"/>
      <w:pPr>
        <w:ind w:left="304"/>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1" w:tplc="C3B6BFC8">
      <w:start w:val="1"/>
      <w:numFmt w:val="bullet"/>
      <w:lvlText w:val="o"/>
      <w:lvlJc w:val="left"/>
      <w:pPr>
        <w:ind w:left="1123"/>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2" w:tplc="08EA68C0">
      <w:start w:val="1"/>
      <w:numFmt w:val="bullet"/>
      <w:lvlText w:val="▪"/>
      <w:lvlJc w:val="left"/>
      <w:pPr>
        <w:ind w:left="1843"/>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3" w:tplc="286403E6">
      <w:start w:val="1"/>
      <w:numFmt w:val="bullet"/>
      <w:lvlText w:val="•"/>
      <w:lvlJc w:val="left"/>
      <w:pPr>
        <w:ind w:left="2563"/>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4" w:tplc="FE4A1D90">
      <w:start w:val="1"/>
      <w:numFmt w:val="bullet"/>
      <w:lvlText w:val="o"/>
      <w:lvlJc w:val="left"/>
      <w:pPr>
        <w:ind w:left="3283"/>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5" w:tplc="62FCEBAC">
      <w:start w:val="1"/>
      <w:numFmt w:val="bullet"/>
      <w:lvlText w:val="▪"/>
      <w:lvlJc w:val="left"/>
      <w:pPr>
        <w:ind w:left="4003"/>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6" w:tplc="CCA8FE16">
      <w:start w:val="1"/>
      <w:numFmt w:val="bullet"/>
      <w:lvlText w:val="•"/>
      <w:lvlJc w:val="left"/>
      <w:pPr>
        <w:ind w:left="4723"/>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7" w:tplc="5BECE512">
      <w:start w:val="1"/>
      <w:numFmt w:val="bullet"/>
      <w:lvlText w:val="o"/>
      <w:lvlJc w:val="left"/>
      <w:pPr>
        <w:ind w:left="5443"/>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8" w:tplc="8A08B8BE">
      <w:start w:val="1"/>
      <w:numFmt w:val="bullet"/>
      <w:lvlText w:val="▪"/>
      <w:lvlJc w:val="left"/>
      <w:pPr>
        <w:ind w:left="6163"/>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abstractNum>
  <w:abstractNum w:abstractNumId="15" w15:restartNumberingAfterBreak="0">
    <w:nsid w:val="62D5549C"/>
    <w:multiLevelType w:val="hybridMultilevel"/>
    <w:tmpl w:val="32C2B4C8"/>
    <w:lvl w:ilvl="0" w:tplc="1234BDBE">
      <w:start w:val="1"/>
      <w:numFmt w:val="bullet"/>
      <w:lvlText w:val="-"/>
      <w:lvlJc w:val="left"/>
      <w:pPr>
        <w:ind w:left="46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9FD2A5E4">
      <w:start w:val="1"/>
      <w:numFmt w:val="bullet"/>
      <w:lvlText w:val="o"/>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B9520928">
      <w:start w:val="1"/>
      <w:numFmt w:val="bullet"/>
      <w:lvlText w:val="▪"/>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C7E4204C">
      <w:start w:val="1"/>
      <w:numFmt w:val="bullet"/>
      <w:lvlText w:val="•"/>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65D2A5FE">
      <w:start w:val="1"/>
      <w:numFmt w:val="bullet"/>
      <w:lvlText w:val="o"/>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6B8A2C4E">
      <w:start w:val="1"/>
      <w:numFmt w:val="bullet"/>
      <w:lvlText w:val="▪"/>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AEC02C4">
      <w:start w:val="1"/>
      <w:numFmt w:val="bullet"/>
      <w:lvlText w:val="•"/>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512C8FF8">
      <w:start w:val="1"/>
      <w:numFmt w:val="bullet"/>
      <w:lvlText w:val="o"/>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4EEB810">
      <w:start w:val="1"/>
      <w:numFmt w:val="bullet"/>
      <w:lvlText w:val="▪"/>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61E27F2"/>
    <w:multiLevelType w:val="hybridMultilevel"/>
    <w:tmpl w:val="45AC38E2"/>
    <w:lvl w:ilvl="0" w:tplc="A3F2FF18">
      <w:start w:val="1"/>
      <w:numFmt w:val="bullet"/>
      <w:lvlText w:val="•"/>
      <w:lvlJc w:val="left"/>
      <w:pPr>
        <w:ind w:left="360"/>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1" w:tplc="C87E080E">
      <w:start w:val="1"/>
      <w:numFmt w:val="bullet"/>
      <w:lvlText w:val="o"/>
      <w:lvlJc w:val="left"/>
      <w:pPr>
        <w:ind w:left="139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2" w:tplc="745A37EE">
      <w:start w:val="1"/>
      <w:numFmt w:val="bullet"/>
      <w:lvlRestart w:val="0"/>
      <w:lvlText w:val=""/>
      <w:lvlJc w:val="left"/>
      <w:pPr>
        <w:ind w:left="1796"/>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3" w:tplc="13FCF72E">
      <w:start w:val="1"/>
      <w:numFmt w:val="bullet"/>
      <w:lvlText w:val="•"/>
      <w:lvlJc w:val="left"/>
      <w:pPr>
        <w:ind w:left="3152"/>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4" w:tplc="632E449C">
      <w:start w:val="1"/>
      <w:numFmt w:val="bullet"/>
      <w:lvlText w:val="o"/>
      <w:lvlJc w:val="left"/>
      <w:pPr>
        <w:ind w:left="3872"/>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5" w:tplc="A7A0562A">
      <w:start w:val="1"/>
      <w:numFmt w:val="bullet"/>
      <w:lvlText w:val="▪"/>
      <w:lvlJc w:val="left"/>
      <w:pPr>
        <w:ind w:left="4592"/>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6" w:tplc="E716F006">
      <w:start w:val="1"/>
      <w:numFmt w:val="bullet"/>
      <w:lvlText w:val="•"/>
      <w:lvlJc w:val="left"/>
      <w:pPr>
        <w:ind w:left="5312"/>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7" w:tplc="DAAEEADE">
      <w:start w:val="1"/>
      <w:numFmt w:val="bullet"/>
      <w:lvlText w:val="o"/>
      <w:lvlJc w:val="left"/>
      <w:pPr>
        <w:ind w:left="6032"/>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lvl w:ilvl="8" w:tplc="0D82AD08">
      <w:start w:val="1"/>
      <w:numFmt w:val="bullet"/>
      <w:lvlText w:val="▪"/>
      <w:lvlJc w:val="left"/>
      <w:pPr>
        <w:ind w:left="6752"/>
      </w:pPr>
      <w:rPr>
        <w:rFonts w:ascii="Wingdings" w:eastAsia="Wingdings" w:hAnsi="Wingdings" w:cs="Wingdings"/>
        <w:b w:val="0"/>
        <w:i w:val="0"/>
        <w:strike w:val="0"/>
        <w:dstrike w:val="0"/>
        <w:color w:val="231F20"/>
        <w:sz w:val="22"/>
        <w:szCs w:val="22"/>
        <w:u w:val="none" w:color="000000"/>
        <w:bdr w:val="none" w:sz="0" w:space="0" w:color="auto"/>
        <w:shd w:val="clear" w:color="auto" w:fill="auto"/>
        <w:vertAlign w:val="baseline"/>
      </w:rPr>
    </w:lvl>
  </w:abstractNum>
  <w:num w:numId="1" w16cid:durableId="1623533432">
    <w:abstractNumId w:val="1"/>
  </w:num>
  <w:num w:numId="2" w16cid:durableId="1934438153">
    <w:abstractNumId w:val="14"/>
  </w:num>
  <w:num w:numId="3" w16cid:durableId="451822691">
    <w:abstractNumId w:val="11"/>
  </w:num>
  <w:num w:numId="4" w16cid:durableId="601186536">
    <w:abstractNumId w:val="9"/>
  </w:num>
  <w:num w:numId="5" w16cid:durableId="1012804825">
    <w:abstractNumId w:val="5"/>
  </w:num>
  <w:num w:numId="6" w16cid:durableId="1095860205">
    <w:abstractNumId w:val="10"/>
  </w:num>
  <w:num w:numId="7" w16cid:durableId="2127238774">
    <w:abstractNumId w:val="7"/>
  </w:num>
  <w:num w:numId="8" w16cid:durableId="361440712">
    <w:abstractNumId w:val="6"/>
  </w:num>
  <w:num w:numId="9" w16cid:durableId="206183439">
    <w:abstractNumId w:val="16"/>
  </w:num>
  <w:num w:numId="10" w16cid:durableId="1087536964">
    <w:abstractNumId w:val="2"/>
  </w:num>
  <w:num w:numId="11" w16cid:durableId="449905658">
    <w:abstractNumId w:val="3"/>
  </w:num>
  <w:num w:numId="12" w16cid:durableId="1916209742">
    <w:abstractNumId w:val="4"/>
  </w:num>
  <w:num w:numId="13" w16cid:durableId="1525827592">
    <w:abstractNumId w:val="12"/>
  </w:num>
  <w:num w:numId="14" w16cid:durableId="1953124830">
    <w:abstractNumId w:val="8"/>
  </w:num>
  <w:num w:numId="15" w16cid:durableId="868488410">
    <w:abstractNumId w:val="15"/>
  </w:num>
  <w:num w:numId="16" w16cid:durableId="175921307">
    <w:abstractNumId w:val="13"/>
  </w:num>
  <w:num w:numId="17" w16cid:durableId="1844739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BB6"/>
    <w:rsid w:val="001B6BB6"/>
    <w:rsid w:val="00467522"/>
    <w:rsid w:val="00A40FB0"/>
    <w:rsid w:val="00E617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58045"/>
  <w15:docId w15:val="{50F7FDE0-07BA-4B20-8460-E5E315797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pBdr>
        <w:top w:val="single" w:sz="4" w:space="0" w:color="000000"/>
        <w:left w:val="single" w:sz="4" w:space="0" w:color="000000"/>
        <w:bottom w:val="single" w:sz="4" w:space="0" w:color="000000"/>
        <w:right w:val="single" w:sz="4" w:space="0" w:color="000000"/>
      </w:pBdr>
      <w:spacing w:after="95" w:line="259" w:lineRule="auto"/>
      <w:ind w:left="10" w:right="236" w:hanging="10"/>
      <w:jc w:val="center"/>
      <w:outlineLvl w:val="0"/>
    </w:pPr>
    <w:rPr>
      <w:rFonts w:ascii="Arial" w:eastAsia="Arial" w:hAnsi="Arial" w:cs="Arial"/>
      <w:b/>
      <w:color w:val="0055A7"/>
      <w:sz w:val="28"/>
    </w:rPr>
  </w:style>
  <w:style w:type="paragraph" w:styleId="Titre2">
    <w:name w:val="heading 2"/>
    <w:next w:val="Normal"/>
    <w:link w:val="Titre2Car"/>
    <w:uiPriority w:val="9"/>
    <w:unhideWhenUsed/>
    <w:qFormat/>
    <w:pPr>
      <w:keepNext/>
      <w:keepLines/>
      <w:shd w:val="clear" w:color="auto" w:fill="95B3D7"/>
      <w:spacing w:after="0" w:line="259" w:lineRule="auto"/>
      <w:ind w:right="57"/>
      <w:jc w:val="center"/>
      <w:outlineLvl w:val="1"/>
    </w:pPr>
    <w:rPr>
      <w:rFonts w:ascii="Arial" w:eastAsia="Arial" w:hAnsi="Arial" w:cs="Arial"/>
      <w:b/>
      <w:color w:val="000000"/>
      <w:sz w:val="28"/>
    </w:rPr>
  </w:style>
  <w:style w:type="paragraph" w:styleId="Titre3">
    <w:name w:val="heading 3"/>
    <w:next w:val="Normal"/>
    <w:link w:val="Titre3Car"/>
    <w:uiPriority w:val="9"/>
    <w:unhideWhenUsed/>
    <w:qFormat/>
    <w:pPr>
      <w:keepNext/>
      <w:keepLines/>
      <w:spacing w:after="161" w:line="259" w:lineRule="auto"/>
      <w:ind w:left="10" w:hanging="10"/>
      <w:outlineLvl w:val="2"/>
    </w:pPr>
    <w:rPr>
      <w:rFonts w:ascii="Calibri" w:eastAsia="Calibri" w:hAnsi="Calibri" w:cs="Calibri"/>
      <w:b/>
      <w:color w:val="000000"/>
      <w:sz w:val="22"/>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Pr>
      <w:rFonts w:ascii="Calibri" w:eastAsia="Calibri" w:hAnsi="Calibri" w:cs="Calibri"/>
      <w:b/>
      <w:color w:val="000000"/>
      <w:sz w:val="22"/>
      <w:u w:val="single" w:color="000000"/>
    </w:rPr>
  </w:style>
  <w:style w:type="character" w:customStyle="1" w:styleId="Titre2Car">
    <w:name w:val="Titre 2 Car"/>
    <w:link w:val="Titre2"/>
    <w:rPr>
      <w:rFonts w:ascii="Arial" w:eastAsia="Arial" w:hAnsi="Arial" w:cs="Arial"/>
      <w:b/>
      <w:color w:val="000000"/>
      <w:sz w:val="28"/>
    </w:rPr>
  </w:style>
  <w:style w:type="character" w:customStyle="1" w:styleId="Titre1Car">
    <w:name w:val="Titre 1 Car"/>
    <w:link w:val="Titre1"/>
    <w:rPr>
      <w:rFonts w:ascii="Arial" w:eastAsia="Arial" w:hAnsi="Arial" w:cs="Arial"/>
      <w:b/>
      <w:color w:val="0055A7"/>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3"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3"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 Id="rId23"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870</Words>
  <Characters>4786</Characters>
  <Application>Microsoft Office Word</Application>
  <DocSecurity>0</DocSecurity>
  <Lines>39</Lines>
  <Paragraphs>11</Paragraphs>
  <ScaleCrop>false</ScaleCrop>
  <Company>CHU Poitiers</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EPIN Elisa</dc:creator>
  <cp:keywords/>
  <cp:lastModifiedBy>DUFAU Marie</cp:lastModifiedBy>
  <cp:revision>2</cp:revision>
  <dcterms:created xsi:type="dcterms:W3CDTF">2026-05-06T07:34:00Z</dcterms:created>
  <dcterms:modified xsi:type="dcterms:W3CDTF">2026-05-06T07:34:00Z</dcterms:modified>
</cp:coreProperties>
</file>